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E3A8A"/>
          <w:spacing w:val="40"/>
          <w:sz w:val="28"/>
          <w:szCs w:val="28"/>
        </w:rPr>
        <w:t xml:space="preserve">BUSINESS CASE</w:t>
      </w:r>
    </w:p>
    <w:p>
      <w:pPr>
        <w:spacing w:after="200"/>
      </w:pPr>
    </w:p>
    <w:p>
      <w:pPr>
        <w:jc w:val="center"/>
      </w:pPr>
      <w:r>
        <w:rPr>
          <w:b/>
          <w:bCs/>
          <w:sz w:val="44"/>
          <w:szCs w:val="44"/>
        </w:rPr>
        <w:t xml:space="preserve">Agentic AI-Driven Retail Inventory Replenishment</w:t>
      </w:r>
    </w:p>
    <w:p>
      <w:pPr>
        <w:spacing w:after="800" w:before="120"/>
        <w:jc w:val="center"/>
      </w:pPr>
      <w:r>
        <w:rPr>
          <w:i/>
          <w:iCs/>
          <w:color w:val="444444"/>
          <w:sz w:val="26"/>
          <w:szCs w:val="26"/>
        </w:rPr>
        <w:t xml:space="preserve">A Human-Governed, Fully Auditable Reference Architecture</w:t>
      </w:r>
    </w:p>
    <w:p>
      <w:pPr>
        <w:spacing w:before="1600"/>
        <w:jc w:val="center"/>
      </w:pPr>
      <w:r>
        <w:rPr>
          <w:sz w:val="22"/>
          <w:szCs w:val="22"/>
        </w:rPr>
        <w:t xml:space="preserve">Prepared by: Binit Datta, Director of Enterprise Architecture</w:t>
      </w:r>
    </w:p>
    <w:p>
      <w:pPr>
        <w:jc w:val="center"/>
      </w:pPr>
      <w:r>
        <w:rPr>
          <w:sz w:val="22"/>
          <w:szCs w:val="22"/>
        </w:rPr>
        <w:t xml:space="preserve">Status: Proof of Concept complete — recommendation to proceed to Pilot</w:t>
      </w:r>
    </w:p>
    <w:p>
      <w:pPr>
        <w:spacing w:before="120"/>
        <w:jc w:val="center"/>
      </w:pPr>
      <w:r>
        <w:rPr>
          <w:color w:val="666666"/>
          <w:sz w:val="22"/>
          <w:szCs w:val="22"/>
        </w:rPr>
        <w:t xml:space="preserve">September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60"/>
        <w:jc w:val="both"/>
      </w:pPr>
      <w:r>
        <w:rPr>
          <w:b w:val="false"/>
          <w:bCs w:val="false"/>
          <w:i w:val="false"/>
          <w:iCs w:val="false"/>
        </w:rPr>
        <w:t xml:space="preserve">Inventory replenishment errors are costly in both directions: stockouts erode revenue and customer trust, while overstock ties up working capital and, for perishable goods, generates direct waste. Rule-based reorder thresholds and manual review do not scale cleanly with SKU and store growth, and neither provides a defensible, explainable record of why a given replenishment decision was — or was not — made.</w:t>
      </w:r>
    </w:p>
    <w:p>
      <w:pPr>
        <w:spacing w:after="160"/>
        <w:jc w:val="both"/>
      </w:pPr>
      <w:r>
        <w:rPr>
          <w:b w:val="false"/>
          <w:bCs w:val="false"/>
          <w:i w:val="false"/>
          <w:iCs w:val="false"/>
        </w:rPr>
        <w:t xml:space="preserve">This document presents the business case for an agentic AI replenishment platform, built and validated as a working proof of concept. The system automates the routine, low-risk portion of the replenishment decision — detecting low stock, forecasting demand, checking supplier availability, recommending an order, and monitoring delivery — while keeping a human supply chain manager structurally in the loop for anything ambiguous, high-value, or outside pre-approved auto-approval criteria.</w:t>
      </w:r>
    </w:p>
    <w:p>
      <w:pPr>
        <w:spacing w:after="160"/>
        <w:jc w:val="both"/>
      </w:pPr>
      <w:r>
        <w:rPr>
          <w:b w:val="false"/>
          <w:bCs w:val="false"/>
          <w:i w:val="false"/>
          <w:iCs w:val="false"/>
        </w:rPr>
        <w:t xml:space="preserve">What distinguishes this from a typical "AI agent" demonstration is governance: every decision the system makes, deterministic or LLM-driven, is logged with its inputs, outputs, and — for judgment calls — the model used, its stated rationale, and its metered cost. Every write action that matters is protected by role-based access control enforced at the API layer, not merely suggested in a prompt. The system has been exercised end to end with real (synthetic) data: an autonomous run that detected shortages, made judgment calls, created and monitored a live order through simulated delivery, and closed the loop by updating on-hand inventory — all visible and traceable through a purpose-built dashboard.</w:t>
      </w:r>
    </w:p>
    <w:p>
      <w:pPr>
        <w:spacing w:after="160"/>
        <w:jc w:val="both"/>
      </w:pPr>
      <w:r>
        <w:rPr>
          <w:b/>
          <w:bCs/>
          <w:i w:val="false"/>
          <w:iCs w:val="false"/>
        </w:rPr>
        <w:t xml:space="preserve">Recommendation: proceed to a scoped pilot — a single store and a defined set of critical SKUs — to validate the approach against real sales history, real supplier data, and real financial outcomes, and to establish the baseline metrics this business case currently marks as to-be-determined.</w:t>
      </w:r>
    </w:p>
    <w:p>
      <w:pPr>
        <w:pStyle w:val="Heading1"/>
        <w:spacing w:after="160" w:before="360"/>
      </w:pPr>
      <w:r>
        <w:t xml:space="preserve">2. Business Problem</w:t>
      </w:r>
    </w:p>
    <w:p>
      <w:pPr>
        <w:spacing w:after="160"/>
        <w:jc w:val="both"/>
      </w:pPr>
      <w:r>
        <w:rPr>
          <w:b w:val="false"/>
          <w:bCs w:val="false"/>
          <w:i w:val="false"/>
          <w:iCs w:val="false"/>
        </w:rPr>
        <w:t xml:space="preserve">Replenishment today, in most mid-to-large retail operations, relies on one of two patterns, each with a distinct failure mode:</w:t>
      </w:r>
    </w:p>
    <w:p>
      <w:pPr>
        <w:pStyle w:val="ListParagraph"/>
        <w:numPr>
          <w:ilvl w:val="0"/>
          <w:numId w:val="1"/>
        </w:numPr>
        <w:spacing w:after="80"/>
      </w:pPr>
      <w:r>
        <w:t xml:space="preserve">Static reorder-point rules: fast to run, but cannot incorporate nuanced judgment — a supplier's current reliability, a SKU's shelf life, an unusual demand signal — without manual override.</w:t>
      </w:r>
    </w:p>
    <w:p>
      <w:pPr>
        <w:pStyle w:val="ListParagraph"/>
        <w:numPr>
          <w:ilvl w:val="0"/>
          <w:numId w:val="1"/>
        </w:numPr>
        <w:spacing w:after="80"/>
      </w:pPr>
      <w:r>
        <w:t xml:space="preserve">Manual analyst review: can incorporate judgment, but does not scale. Headcount grows with SKU and store count, and decisions made verbally or in spreadsheets leave a weak audit trail.</w:t>
      </w:r>
    </w:p>
    <w:p>
      <w:pPr>
        <w:spacing w:after="160"/>
        <w:jc w:val="both"/>
      </w:pPr>
      <w:r>
        <w:rPr>
          <w:b w:val="false"/>
          <w:bCs w:val="false"/>
          <w:i w:val="false"/>
          <w:iCs w:val="false"/>
        </w:rPr>
        <w:t xml:space="preserve">Both patterns share a deeper gap: when a stockout or an over-order happens, it is difficult to reconstruct why. Was the reorder point wrong? Was the forecast stale? Did a supplier become unavailable and no one escalated it? Without a structured, queryable record of the decision itself — not just its outcome — the organization cannot systematically improve the process.</w:t>
      </w:r>
    </w:p>
    <w:p>
      <w:pPr>
        <w:spacing w:after="160"/>
        <w:jc w:val="both"/>
      </w:pPr>
      <w:r>
        <w:rPr>
          <w:b w:val="false"/>
          <w:bCs w:val="false"/>
          <w:i w:val="false"/>
          <w:iCs w:val="false"/>
        </w:rPr>
        <w:t xml:space="preserve">Large language models now make it practical to add judgment-level reasoning to a subset of these decisions — but only if the system built around that reasoning is governed with the same rigor as any other purchasing authority: role-based approval, a complete audit trail, and a clear boundary on what the system may decide autonomously versus what it must escalate.</w:t>
      </w:r>
    </w:p>
    <w:p>
      <w:pPr>
        <w:pStyle w:val="Heading1"/>
        <w:spacing w:after="160" w:before="360"/>
      </w:pPr>
      <w:r>
        <w:t xml:space="preserve">3. Proposed Solution</w:t>
      </w:r>
    </w:p>
    <w:p>
      <w:pPr>
        <w:spacing w:after="160"/>
        <w:jc w:val="both"/>
      </w:pPr>
      <w:r>
        <w:rPr>
          <w:b w:val="false"/>
          <w:bCs w:val="false"/>
          <w:i w:val="false"/>
          <w:iCs w:val="false"/>
        </w:rPr>
        <w:t xml:space="preserve">The proposed platform is an agentic pipeline that mirrors how a skilled replenishment analyst actually works, made explicit and auditable:</w:t>
      </w:r>
    </w:p>
    <w:p>
      <w:pPr>
        <w:pStyle w:val="ListParagraph"/>
        <w:numPr>
          <w:ilvl w:val="0"/>
          <w:numId w:val="1"/>
        </w:numPr>
        <w:spacing w:after="80"/>
      </w:pPr>
      <w:r>
        <w:t xml:space="preserve">Detect — continuously identify SKUs below their reorder point, store by store.</w:t>
      </w:r>
    </w:p>
    <w:p>
      <w:pPr>
        <w:pStyle w:val="ListParagraph"/>
        <w:numPr>
          <w:ilvl w:val="0"/>
          <w:numId w:val="1"/>
        </w:numPr>
        <w:spacing w:after="80"/>
      </w:pPr>
      <w:r>
        <w:t xml:space="preserve">Forecast — compute expected demand over the supplier's lead time from recent sales history, with a confidence score that reflects how much history actually supports the number.</w:t>
      </w:r>
    </w:p>
    <w:p>
      <w:pPr>
        <w:pStyle w:val="ListParagraph"/>
        <w:numPr>
          <w:ilvl w:val="0"/>
          <w:numId w:val="1"/>
        </w:numPr>
        <w:spacing w:after="80"/>
      </w:pPr>
      <w:r>
        <w:t xml:space="preserve">Check supplier availability — confirm a qualified supplier exists and surface its lead time and reliability.</w:t>
      </w:r>
    </w:p>
    <w:p>
      <w:pPr>
        <w:pStyle w:val="ListParagraph"/>
        <w:numPr>
          <w:ilvl w:val="0"/>
          <w:numId w:val="1"/>
        </w:numPr>
        <w:spacing w:after="80"/>
      </w:pPr>
      <w:r>
        <w:t xml:space="preserve">Recommend or escalate — if a supplier is available, an LLM judgment call recommends an order quantity and decides whether it qualifies for auto-approval; if no supplier is available, the same judgment layer escalates the shortage with a severity rating and rationale for a human to act on.</w:t>
      </w:r>
    </w:p>
    <w:p>
      <w:pPr>
        <w:pStyle w:val="ListParagraph"/>
        <w:numPr>
          <w:ilvl w:val="0"/>
          <w:numId w:val="1"/>
        </w:numPr>
        <w:spacing w:after="80"/>
      </w:pPr>
      <w:r>
        <w:t xml:space="preserve">Monitor delivery — track the order through to receipt, automatically updating on-hand inventory the moment it arrives.</w:t>
      </w:r>
    </w:p>
    <w:p>
      <w:pPr>
        <w:spacing w:after="160"/>
        <w:jc w:val="both"/>
      </w:pPr>
      <w:r>
        <w:rPr>
          <w:b w:val="false"/>
          <w:bCs w:val="false"/>
          <w:i w:val="false"/>
          <w:iCs w:val="false"/>
        </w:rPr>
        <w:t xml:space="preserve">Auto-approval is deliberately narrow: it applies only when a SKU is flagged business-critical and its supplier has a short, reliable lead time — the cost of a stockout outweighs the cost of skipping review. Every other recommendation is routed to a named human with the appropriate role before anything is transmitted to a supplier.</w:t>
      </w:r>
    </w:p>
    <w:p>
      <w:pPr>
        <w:pStyle w:val="Heading1"/>
        <w:spacing w:after="160" w:before="360"/>
      </w:pPr>
      <w:r>
        <w:t xml:space="preserve">4. Strategic Objectives</w:t>
      </w:r>
    </w:p>
    <w:p>
      <w:pPr>
        <w:pStyle w:val="ListParagraph"/>
        <w:numPr>
          <w:ilvl w:val="0"/>
          <w:numId w:val="1"/>
        </w:numPr>
        <w:spacing w:after="80"/>
      </w:pPr>
      <w:r>
        <w:t xml:space="preserve">Reduce stockout incidents on critical SKUs without a proportional increase in manual review labor.</w:t>
      </w:r>
    </w:p>
    <w:p>
      <w:pPr>
        <w:pStyle w:val="ListParagraph"/>
        <w:numPr>
          <w:ilvl w:val="0"/>
          <w:numId w:val="1"/>
        </w:numPr>
        <w:spacing w:after="80"/>
      </w:pPr>
      <w:r>
        <w:t xml:space="preserve">Establish a reusable, secured reference architecture — identity, API, event-driven backend, operator dashboard, autonomous agent — that other agentic-AI initiatives beyond replenishment can build on rather than starting from zero.</w:t>
      </w:r>
    </w:p>
    <w:p>
      <w:pPr>
        <w:pStyle w:val="ListParagraph"/>
        <w:numPr>
          <w:ilvl w:val="0"/>
          <w:numId w:val="1"/>
        </w:numPr>
        <w:spacing w:after="80"/>
      </w:pPr>
      <w:r>
        <w:t xml:space="preserve">Create a defensible governance model for AI-assisted purchasing decisions, ahead of increasing internal and regulatory scrutiny of automated decision systems.</w:t>
      </w:r>
    </w:p>
    <w:p>
      <w:pPr>
        <w:pStyle w:val="ListParagraph"/>
        <w:numPr>
          <w:ilvl w:val="0"/>
          <w:numId w:val="1"/>
        </w:numPr>
        <w:spacing w:after="80"/>
      </w:pPr>
      <w:r>
        <w:t xml:space="preserve">Generate real, measured data on LLM judgment quality and per-decision cost in a production-shaped workload, replacing vendor claims with our own evidence.</w:t>
      </w:r>
    </w:p>
    <w:p>
      <w:pPr>
        <w:pStyle w:val="Heading1"/>
        <w:spacing w:after="160" w:before="360"/>
      </w:pPr>
      <w:r>
        <w:t xml:space="preserve">5. Solution Architecture</w:t>
      </w:r>
    </w:p>
    <w:p>
      <w:pPr>
        <w:spacing w:after="160"/>
        <w:jc w:val="both"/>
      </w:pPr>
      <w:r>
        <w:rPr>
          <w:b w:val="false"/>
          <w:bCs w:val="false"/>
          <w:i w:val="false"/>
          <w:iCs w:val="false"/>
        </w:rPr>
        <w:t xml:space="preserve">Five components, each with a single clear responsibility: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c>
          <w:tcPr>
            <w:tcW w:type="dxa" w:w="2400"/>
            <w:shd w:fill="1E3A8A" w:val="clear"/>
            <w:tcMar>
              <w:top w:type="dxa" w:w="80"/>
              <w:left w:type="dxa" w:w="100"/>
              <w:bottom w:type="dxa" w:w="80"/>
              <w:right w:type="dxa" w:w="100"/>
            </w:tcMar>
          </w:tcPr>
          <w:p>
            <w:r>
              <w:rPr>
                <w:b/>
                <w:bCs/>
                <w:color w:val="FFFFFF"/>
                <w:sz w:val="21"/>
                <w:szCs w:val="21"/>
              </w:rPr>
              <w:t xml:space="preserve">Component</w:t>
            </w:r>
          </w:p>
        </w:tc>
        <w:tc>
          <w:tcPr>
            <w:tcW w:type="dxa" w:w="7500"/>
            <w:shd w:fill="1E3A8A" w:val="clear"/>
            <w:tcMar>
              <w:top w:type="dxa" w:w="80"/>
              <w:left w:type="dxa" w:w="100"/>
              <w:bottom w:type="dxa" w:w="80"/>
              <w:right w:type="dxa" w:w="100"/>
            </w:tcMar>
          </w:tcPr>
          <w:p>
            <w:r>
              <w:rPr>
                <w:b/>
                <w:bCs/>
                <w:color w:val="FFFFFF"/>
                <w:sz w:val="21"/>
                <w:szCs w:val="21"/>
              </w:rPr>
              <w:t xml:space="preserve">Role</w:t>
            </w:r>
          </w:p>
        </w:tc>
      </w:tr>
      <w:tr>
        <w:tc>
          <w:tcPr>
            <w:tcW w:type="dxa" w:w="2400"/>
            <w:tcMar>
              <w:top w:type="dxa" w:w="80"/>
              <w:left w:type="dxa" w:w="100"/>
              <w:bottom w:type="dxa" w:w="80"/>
              <w:right w:type="dxa" w:w="100"/>
            </w:tcMar>
          </w:tcPr>
          <w:p>
            <w:r>
              <w:rPr>
                <w:b w:val="false"/>
                <w:bCs w:val="false"/>
                <w:color w:val="000000"/>
                <w:sz w:val="21"/>
                <w:szCs w:val="21"/>
              </w:rPr>
              <w:t xml:space="preserve">Identity provider (Keycloak)</w:t>
            </w:r>
          </w:p>
        </w:tc>
        <w:tc>
          <w:tcPr>
            <w:tcW w:type="dxa" w:w="7500"/>
            <w:tcMar>
              <w:top w:type="dxa" w:w="80"/>
              <w:left w:type="dxa" w:w="100"/>
              <w:bottom w:type="dxa" w:w="80"/>
              <w:right w:type="dxa" w:w="100"/>
            </w:tcMar>
          </w:tcPr>
          <w:p>
            <w:r>
              <w:rPr>
                <w:b w:val="false"/>
                <w:bCs w:val="false"/>
                <w:color w:val="000000"/>
                <w:sz w:val="21"/>
                <w:szCs w:val="21"/>
              </w:rPr>
              <w:t xml:space="preserve">The sole source of truth for who — or what service — is making a request. Issues short-lived, role-carrying tokens; nothing else in the system implements its own login logic.</w:t>
            </w:r>
          </w:p>
        </w:tc>
      </w:tr>
      <w:tr>
        <w:tc>
          <w:tcPr>
            <w:tcW w:type="dxa" w:w="2400"/>
            <w:tcMar>
              <w:top w:type="dxa" w:w="80"/>
              <w:left w:type="dxa" w:w="100"/>
              <w:bottom w:type="dxa" w:w="80"/>
              <w:right w:type="dxa" w:w="100"/>
            </w:tcMar>
          </w:tcPr>
          <w:p>
            <w:r>
              <w:rPr>
                <w:b w:val="false"/>
                <w:bCs w:val="false"/>
                <w:color w:val="000000"/>
                <w:sz w:val="21"/>
                <w:szCs w:val="21"/>
              </w:rPr>
              <w:t xml:space="preserve">Operator dashboard (Angular)</w:t>
            </w:r>
          </w:p>
        </w:tc>
        <w:tc>
          <w:tcPr>
            <w:tcW w:type="dxa" w:w="7500"/>
            <w:tcMar>
              <w:top w:type="dxa" w:w="80"/>
              <w:left w:type="dxa" w:w="100"/>
              <w:bottom w:type="dxa" w:w="80"/>
              <w:right w:type="dxa" w:w="100"/>
            </w:tcMar>
          </w:tcPr>
          <w:p>
            <w:r>
              <w:rPr>
                <w:b w:val="false"/>
                <w:bCs w:val="false"/>
                <w:color w:val="000000"/>
                <w:sz w:val="21"/>
                <w:szCs w:val="21"/>
              </w:rPr>
              <w:t xml:space="preserve">Where a human supply chain manager reviews agent activity, approves or cancels recommended orders, and resolves shortage escalations. Every action is attributed to a named individual.</w:t>
            </w:r>
          </w:p>
        </w:tc>
      </w:tr>
      <w:tr>
        <w:tc>
          <w:tcPr>
            <w:tcW w:type="dxa" w:w="2400"/>
            <w:tcMar>
              <w:top w:type="dxa" w:w="80"/>
              <w:left w:type="dxa" w:w="100"/>
              <w:bottom w:type="dxa" w:w="80"/>
              <w:right w:type="dxa" w:w="100"/>
            </w:tcMar>
          </w:tcPr>
          <w:p>
            <w:r>
              <w:rPr>
                <w:b w:val="false"/>
                <w:bCs w:val="false"/>
                <w:color w:val="000000"/>
                <w:sz w:val="21"/>
                <w:szCs w:val="21"/>
              </w:rPr>
              <w:t xml:space="preserve">Replenishment agent (Python)</w:t>
            </w:r>
          </w:p>
        </w:tc>
        <w:tc>
          <w:tcPr>
            <w:tcW w:type="dxa" w:w="7500"/>
            <w:tcMar>
              <w:top w:type="dxa" w:w="80"/>
              <w:left w:type="dxa" w:w="100"/>
              <w:bottom w:type="dxa" w:w="80"/>
              <w:right w:type="dxa" w:w="100"/>
            </w:tcMar>
          </w:tcPr>
          <w:p>
            <w:r>
              <w:rPr>
                <w:b w:val="false"/>
                <w:bCs w:val="false"/>
                <w:color w:val="000000"/>
                <w:sz w:val="21"/>
                <w:szCs w:val="21"/>
              </w:rPr>
              <w:t xml:space="preserve">The autonomous worker. Authenticates as its own governed service identity, executes the five-stage pipeline, and calls an LLM only for the two genuine judgment calls — order recommendation and escalation severity.</w:t>
            </w:r>
          </w:p>
        </w:tc>
      </w:tr>
      <w:tr>
        <w:tc>
          <w:tcPr>
            <w:tcW w:type="dxa" w:w="2400"/>
            <w:tcMar>
              <w:top w:type="dxa" w:w="80"/>
              <w:left w:type="dxa" w:w="100"/>
              <w:bottom w:type="dxa" w:w="80"/>
              <w:right w:type="dxa" w:w="100"/>
            </w:tcMar>
          </w:tcPr>
          <w:p>
            <w:r>
              <w:rPr>
                <w:b w:val="false"/>
                <w:bCs w:val="false"/>
                <w:color w:val="000000"/>
                <w:sz w:val="21"/>
                <w:szCs w:val="21"/>
              </w:rPr>
              <w:t xml:space="preserve">Core API (Spring Boot)</w:t>
            </w:r>
          </w:p>
        </w:tc>
        <w:tc>
          <w:tcPr>
            <w:tcW w:type="dxa" w:w="7500"/>
            <w:tcMar>
              <w:top w:type="dxa" w:w="80"/>
              <w:left w:type="dxa" w:w="100"/>
              <w:bottom w:type="dxa" w:w="80"/>
              <w:right w:type="dxa" w:w="100"/>
            </w:tcMar>
          </w:tcPr>
          <w:p>
            <w:r>
              <w:rPr>
                <w:b w:val="false"/>
                <w:bCs w:val="false"/>
                <w:color w:val="000000"/>
                <w:sz w:val="21"/>
                <w:szCs w:val="21"/>
              </w:rPr>
              <w:t xml:space="preserve">The single point of business logic and authorization. Every request — human or agent — is validated and role-checked here before anything is read or written.</w:t>
            </w:r>
          </w:p>
        </w:tc>
      </w:tr>
      <w:tr>
        <w:tc>
          <w:tcPr>
            <w:tcW w:type="dxa" w:w="2400"/>
            <w:tcMar>
              <w:top w:type="dxa" w:w="80"/>
              <w:left w:type="dxa" w:w="100"/>
              <w:bottom w:type="dxa" w:w="80"/>
              <w:right w:type="dxa" w:w="100"/>
            </w:tcMar>
          </w:tcPr>
          <w:p>
            <w:r>
              <w:rPr>
                <w:b w:val="false"/>
                <w:bCs w:val="false"/>
                <w:color w:val="000000"/>
                <w:sz w:val="21"/>
                <w:szCs w:val="21"/>
              </w:rPr>
              <w:t xml:space="preserve">System of record (MySQL)</w:t>
            </w:r>
          </w:p>
        </w:tc>
        <w:tc>
          <w:tcPr>
            <w:tcW w:type="dxa" w:w="7500"/>
            <w:tcMar>
              <w:top w:type="dxa" w:w="80"/>
              <w:left w:type="dxa" w:w="100"/>
              <w:bottom w:type="dxa" w:w="80"/>
              <w:right w:type="dxa" w:w="100"/>
            </w:tcMar>
          </w:tcPr>
          <w:p>
            <w:r>
              <w:rPr>
                <w:b w:val="false"/>
                <w:bCs w:val="false"/>
                <w:color w:val="000000"/>
                <w:sz w:val="21"/>
                <w:szCs w:val="21"/>
              </w:rPr>
              <w:t xml:space="preserve">Durable storage for inventory, orders, escalations, and — critically — the complete decision and LLM-cost audit trail.</w:t>
            </w:r>
          </w:p>
        </w:tc>
      </w:tr>
    </w:tbl>
    <w:p>
      <w:pPr>
        <w:spacing w:after="120"/>
      </w:pPr>
    </w:p>
    <w:p>
      <w:pPr>
        <w:spacing w:after="160"/>
        <w:jc w:val="both"/>
      </w:pPr>
      <w:r>
        <w:rPr>
          <w:b w:val="false"/>
          <w:bCs w:val="false"/>
          <w:i w:val="false"/>
          <w:iCs w:val="false"/>
        </w:rPr>
        <w:t xml:space="preserve">An event bus (RabbitMQ) decouples time-consuming downstream effects — transmitting an order to a supplier, tracking a shipment — from the API calls that trigger them, so the system stays responsive under load and each concern can evolve independently.</w:t>
      </w:r>
    </w:p>
    <w:p>
      <w:pPr>
        <w:pStyle w:val="Heading1"/>
        <w:spacing w:after="160" w:before="360"/>
      </w:pPr>
      <w:r>
        <w:t xml:space="preserve">6. Key Differentiators</w:t>
      </w:r>
    </w:p>
    <w:p>
      <w:pPr>
        <w:pStyle w:val="ListParagraph"/>
        <w:numPr>
          <w:ilvl w:val="0"/>
          <w:numId w:val="1"/>
        </w:numPr>
        <w:spacing w:after="80"/>
      </w:pPr>
      <w:r>
        <w:t xml:space="preserve">Complete decision and cost audit trail — every automated judgment call is logged with its rationale, the model that produced it, and its metered cost, not just its final outcome.</w:t>
      </w:r>
    </w:p>
    <w:p>
      <w:pPr>
        <w:pStyle w:val="ListParagraph"/>
        <w:numPr>
          <w:ilvl w:val="0"/>
          <w:numId w:val="1"/>
        </w:numPr>
        <w:spacing w:after="80"/>
      </w:pPr>
      <w:r>
        <w:t xml:space="preserve">Structural human-in-the-loop governance — approval authority is enforced by the identity and access layer itself, not by a convention that can be silently bypassed.</w:t>
      </w:r>
    </w:p>
    <w:p>
      <w:pPr>
        <w:pStyle w:val="ListParagraph"/>
        <w:numPr>
          <w:ilvl w:val="0"/>
          <w:numId w:val="1"/>
        </w:numPr>
        <w:spacing w:after="80"/>
      </w:pPr>
      <w:r>
        <w:t xml:space="preserve">Event-driven, not batch — inventory state reflects reality within seconds of a delivery, not after an overnight job.</w:t>
      </w:r>
    </w:p>
    <w:p>
      <w:pPr>
        <w:pStyle w:val="ListParagraph"/>
        <w:numPr>
          <w:ilvl w:val="0"/>
          <w:numId w:val="1"/>
        </w:numPr>
        <w:spacing w:after="80"/>
      </w:pPr>
      <w:r>
        <w:t xml:space="preserve">Provider-neutral judgment layer — the LLM call is isolated behind a narrow interface; this POC has already demonstrated switching providers without touching the surrounding pipeline.</w:t>
      </w:r>
    </w:p>
    <w:p>
      <w:pPr>
        <w:pStyle w:val="Heading1"/>
        <w:spacing w:after="160" w:before="360"/>
      </w:pPr>
      <w:r>
        <w:t xml:space="preserve">7. Value Proposition</w:t>
      </w:r>
    </w:p>
    <w:p>
      <w:pPr>
        <w:pStyle w:val="Heading2"/>
        <w:spacing w:after="120" w:before="260"/>
      </w:pPr>
      <w:r>
        <w:t xml:space="preserve">Operational</w:t>
      </w:r>
    </w:p>
    <w:p>
      <w:pPr>
        <w:spacing w:after="160"/>
        <w:jc w:val="both"/>
      </w:pPr>
      <w:r>
        <w:rPr>
          <w:b w:val="false"/>
          <w:bCs w:val="false"/>
          <w:i w:val="false"/>
          <w:iCs w:val="false"/>
        </w:rPr>
        <w:t xml:space="preserve">Faster, more consistent replenishment decisions at a lower marginal labor cost per SKU — the system handles routine cases end to end and brings a human in only where judgment genuinely adds value.</w:t>
      </w:r>
    </w:p>
    <w:p>
      <w:pPr>
        <w:pStyle w:val="Heading2"/>
        <w:spacing w:after="120" w:before="260"/>
      </w:pPr>
      <w:r>
        <w:t xml:space="preserve">Risk and compliance</w:t>
      </w:r>
    </w:p>
    <w:p>
      <w:pPr>
        <w:spacing w:after="160"/>
        <w:jc w:val="both"/>
      </w:pPr>
      <w:r>
        <w:rPr>
          <w:b w:val="false"/>
          <w:bCs w:val="false"/>
          <w:i w:val="false"/>
          <w:iCs w:val="false"/>
        </w:rPr>
        <w:t xml:space="preserve">Every automated purchasing decision is explainable after the fact — who or what made it, on what basis, and at what cost — which materially strengthens the organization's position in any internal audit or external regulatory review of automated decision-making.</w:t>
      </w:r>
    </w:p>
    <w:p>
      <w:pPr>
        <w:pStyle w:val="Heading2"/>
        <w:spacing w:after="120" w:before="260"/>
      </w:pPr>
      <w:r>
        <w:t xml:space="preserve">Financial</w:t>
      </w:r>
    </w:p>
    <w:p>
      <w:pPr>
        <w:pBdr>
          <w:left w:val="single" w:color="1E3A8A" w:sz="18"/>
        </w:pBdr>
        <w:shd w:fill="F4F6FB" w:val="clear"/>
        <w:spacing w:after="200" w:before="80"/>
        <w:ind w:left="120"/>
      </w:pPr>
      <w:r>
        <w:rPr>
          <w:b/>
          <w:bCs/>
          <w:i/>
          <w:iCs/>
        </w:rPr>
        <w:t xml:space="preserve">Note: </w:t>
      </w:r>
      <w:r>
        <w:rPr>
          <w:i/>
          <w:iCs/>
        </w:rPr>
        <w:t xml:space="preserve">Quantified savings (reduced stockout-related lost sales, reduced carrying cost from tighter reorder timing) require this organization's current stockout frequency, average lost-sale value, and carrying-cost rate, none of which this document assumes or fabricates. Establishing this baseline is a first deliverable of the recommended pilot, not a precondition for approving it.</w:t>
      </w:r>
    </w:p>
    <w:p>
      <w:pPr>
        <w:pStyle w:val="Heading2"/>
        <w:spacing w:after="120" w:before="260"/>
      </w:pPr>
      <w:r>
        <w:t xml:space="preserve">Strategic</w:t>
      </w:r>
    </w:p>
    <w:p>
      <w:pPr>
        <w:spacing w:after="160"/>
        <w:jc w:val="both"/>
      </w:pPr>
      <w:r>
        <w:rPr>
          <w:b w:val="false"/>
          <w:bCs w:val="false"/>
          <w:i w:val="false"/>
          <w:iCs w:val="false"/>
        </w:rPr>
        <w:t xml:space="preserve">The platform pattern — governed agent, audited API, secured dashboard — is reusable well beyond replenishment. Any future agentic-AI initiative in this organization inherits a proven identity, authorization, and audit model rather than reinventing one.</w:t>
      </w:r>
    </w:p>
    <w:p>
      <w:pPr>
        <w:pStyle w:val="Heading1"/>
        <w:spacing w:after="160" w:before="360"/>
      </w:pPr>
      <w:r>
        <w:t xml:space="preserve">8. Investment Considerations</w:t>
      </w:r>
    </w:p>
    <w:p>
      <w:pPr>
        <w:spacing w:after="160"/>
        <w:jc w:val="both"/>
      </w:pPr>
      <w:r>
        <w:rPr>
          <w:b w:val="false"/>
          <w:bCs w:val="false"/>
          <w:i w:val="false"/>
          <w:iCs w:val="false"/>
        </w:rPr>
        <w:t xml:space="preserve">Cost falls into four categories. Because this POC already meters LLM cost per individual decision, a pilot can produce a real, data-driven cost-per-decision figure within weeks rather than relying on vendor estimates:</w:t>
      </w:r>
    </w:p>
    <w:p>
      <w:pPr>
        <w:pStyle w:val="ListParagraph"/>
        <w:numPr>
          <w:ilvl w:val="0"/>
          <w:numId w:val="1"/>
        </w:numPr>
        <w:spacing w:after="80"/>
      </w:pPr>
      <w:r>
        <w:t xml:space="preserve">Infrastructure — API hosting, managed MySQL, and a managed message queue (or their cloud-native equivalents).</w:t>
      </w:r>
    </w:p>
    <w:p>
      <w:pPr>
        <w:pStyle w:val="ListParagraph"/>
        <w:numPr>
          <w:ilvl w:val="0"/>
          <w:numId w:val="1"/>
        </w:numPr>
        <w:spacing w:after="80"/>
      </w:pPr>
      <w:r>
        <w:t xml:space="preserve">Identity operations — Keycloak hosting and realm administration, likely shared with other enterprise applications rather than dedicated to this one.</w:t>
      </w:r>
    </w:p>
    <w:p>
      <w:pPr>
        <w:pStyle w:val="ListParagraph"/>
        <w:numPr>
          <w:ilvl w:val="0"/>
          <w:numId w:val="1"/>
        </w:numPr>
        <w:spacing w:after="80"/>
      </w:pPr>
      <w:r>
        <w:t xml:space="preserve">LLM usage — metered per call today; the pilot will produce an actual cost-per-decision baseline rather than an estimate.</w:t>
      </w:r>
    </w:p>
    <w:p>
      <w:pPr>
        <w:pStyle w:val="ListParagraph"/>
        <w:numPr>
          <w:ilvl w:val="0"/>
          <w:numId w:val="1"/>
        </w:numPr>
        <w:spacing w:after="80"/>
      </w:pPr>
      <w:r>
        <w:t xml:space="preserve">Engineering effort — replacing the POC's simulated supplier integration with real supplier EDI/API connections, and production-hardening (observability, alerting, disaster recovery) ahead of any live-order rollout.</w:t>
      </w:r>
    </w:p>
    <w:p>
      <w:pPr>
        <w:pStyle w:val="Heading1"/>
        <w:spacing w:after="160" w:before="360"/>
      </w:pPr>
      <w:r>
        <w:t xml:space="preserve">9. Risks and Mitigations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700"/>
      </w:tblGrid>
      <w:tr>
        <w:tc>
          <w:tcPr>
            <w:tcW w:type="dxa" w:w="3200"/>
            <w:shd w:fill="1E3A8A" w:val="clear"/>
            <w:tcMar>
              <w:top w:type="dxa" w:w="80"/>
              <w:left w:type="dxa" w:w="100"/>
              <w:bottom w:type="dxa" w:w="80"/>
              <w:right w:type="dxa" w:w="100"/>
            </w:tcMar>
          </w:tcPr>
          <w:p>
            <w:r>
              <w:rPr>
                <w:b/>
                <w:bCs/>
                <w:color w:val="FFFFFF"/>
                <w:sz w:val="21"/>
                <w:szCs w:val="21"/>
              </w:rPr>
              <w:t xml:space="preserve">Risk</w:t>
            </w:r>
          </w:p>
        </w:tc>
        <w:tc>
          <w:tcPr>
            <w:tcW w:type="dxa" w:w="3000"/>
            <w:shd w:fill="1E3A8A" w:val="clear"/>
            <w:tcMar>
              <w:top w:type="dxa" w:w="80"/>
              <w:left w:type="dxa" w:w="100"/>
              <w:bottom w:type="dxa" w:w="80"/>
              <w:right w:type="dxa" w:w="100"/>
            </w:tcMar>
          </w:tcPr>
          <w:p>
            <w:r>
              <w:rPr>
                <w:b/>
                <w:bCs/>
                <w:color w:val="FFFFFF"/>
                <w:sz w:val="21"/>
                <w:szCs w:val="21"/>
              </w:rPr>
              <w:t xml:space="preserve">Impact</w:t>
            </w:r>
          </w:p>
        </w:tc>
        <w:tc>
          <w:tcPr>
            <w:tcW w:type="dxa" w:w="3700"/>
            <w:shd w:fill="1E3A8A" w:val="clear"/>
            <w:tcMar>
              <w:top w:type="dxa" w:w="80"/>
              <w:left w:type="dxa" w:w="100"/>
              <w:bottom w:type="dxa" w:w="80"/>
              <w:right w:type="dxa" w:w="100"/>
            </w:tcMar>
          </w:tcPr>
          <w:p>
            <w:r>
              <w:rPr>
                <w:b/>
                <w:bCs/>
                <w:color w:val="FFFFFF"/>
                <w:sz w:val="21"/>
                <w:szCs w:val="21"/>
              </w:rPr>
              <w:t xml:space="preserve">Mitigation</w:t>
            </w:r>
          </w:p>
        </w:tc>
      </w:tr>
      <w:tr>
        <w:tc>
          <w:tcPr>
            <w:tcW w:type="dxa" w:w="3200"/>
            <w:tcMar>
              <w:top w:type="dxa" w:w="80"/>
              <w:left w:type="dxa" w:w="100"/>
              <w:bottom w:type="dxa" w:w="80"/>
              <w:right w:type="dxa" w:w="100"/>
            </w:tcMar>
          </w:tcPr>
          <w:p>
            <w:r>
              <w:rPr>
                <w:b w:val="false"/>
                <w:bCs w:val="false"/>
                <w:color w:val="000000"/>
                <w:sz w:val="21"/>
                <w:szCs w:val="21"/>
              </w:rPr>
              <w:t xml:space="preserve">LLM judgment error</w:t>
            </w:r>
          </w:p>
        </w:tc>
        <w:tc>
          <w:tcPr>
            <w:tcW w:type="dxa" w:w="3000"/>
            <w:tcMar>
              <w:top w:type="dxa" w:w="80"/>
              <w:left w:type="dxa" w:w="100"/>
              <w:bottom w:type="dxa" w:w="80"/>
              <w:right w:type="dxa" w:w="100"/>
            </w:tcMar>
          </w:tcPr>
          <w:p>
            <w:r>
              <w:rPr>
                <w:b w:val="false"/>
                <w:bCs w:val="false"/>
                <w:color w:val="000000"/>
                <w:sz w:val="21"/>
                <w:szCs w:val="21"/>
              </w:rPr>
              <w:t xml:space="preserve">Incorrect order quantity or missed escalation</w:t>
            </w:r>
          </w:p>
        </w:tc>
        <w:tc>
          <w:tcPr>
            <w:tcW w:type="dxa" w:w="3700"/>
            <w:tcMar>
              <w:top w:type="dxa" w:w="80"/>
              <w:left w:type="dxa" w:w="100"/>
              <w:bottom w:type="dxa" w:w="80"/>
              <w:right w:type="dxa" w:w="100"/>
            </w:tcMar>
          </w:tcPr>
          <w:p>
            <w:r>
              <w:rPr>
                <w:b w:val="false"/>
                <w:bCs w:val="false"/>
                <w:color w:val="000000"/>
                <w:sz w:val="21"/>
                <w:szCs w:val="21"/>
              </w:rPr>
              <w:t xml:space="preserve">Human approval gate on all non-critical-SKU recommendations; full rationale logged for every call, reviewable before and after action</w:t>
            </w:r>
          </w:p>
        </w:tc>
      </w:tr>
      <w:tr>
        <w:tc>
          <w:tcPr>
            <w:tcW w:type="dxa" w:w="3200"/>
            <w:tcMar>
              <w:top w:type="dxa" w:w="80"/>
              <w:left w:type="dxa" w:w="100"/>
              <w:bottom w:type="dxa" w:w="80"/>
              <w:right w:type="dxa" w:w="100"/>
            </w:tcMar>
          </w:tcPr>
          <w:p>
            <w:r>
              <w:rPr>
                <w:b w:val="false"/>
                <w:bCs w:val="false"/>
                <w:color w:val="000000"/>
                <w:sz w:val="21"/>
                <w:szCs w:val="21"/>
              </w:rPr>
              <w:t xml:space="preserve">LLM vendor/API dependency</w:t>
            </w:r>
          </w:p>
        </w:tc>
        <w:tc>
          <w:tcPr>
            <w:tcW w:type="dxa" w:w="3000"/>
            <w:tcMar>
              <w:top w:type="dxa" w:w="80"/>
              <w:left w:type="dxa" w:w="100"/>
              <w:bottom w:type="dxa" w:w="80"/>
              <w:right w:type="dxa" w:w="100"/>
            </w:tcMar>
          </w:tcPr>
          <w:p>
            <w:r>
              <w:rPr>
                <w:b w:val="false"/>
                <w:bCs w:val="false"/>
                <w:color w:val="000000"/>
                <w:sz w:val="21"/>
                <w:szCs w:val="21"/>
              </w:rPr>
              <w:t xml:space="preserve">Service disruption or pricing change</w:t>
            </w:r>
          </w:p>
        </w:tc>
        <w:tc>
          <w:tcPr>
            <w:tcW w:type="dxa" w:w="3700"/>
            <w:tcMar>
              <w:top w:type="dxa" w:w="80"/>
              <w:left w:type="dxa" w:w="100"/>
              <w:bottom w:type="dxa" w:w="80"/>
              <w:right w:type="dxa" w:w="100"/>
            </w:tcMar>
          </w:tcPr>
          <w:p>
            <w:r>
              <w:rPr>
                <w:b w:val="false"/>
                <w:bCs w:val="false"/>
                <w:color w:val="000000"/>
                <w:sz w:val="21"/>
                <w:szCs w:val="21"/>
              </w:rPr>
              <w:t xml:space="preserve">Judgment layer is provider-neutral by design; already demonstrated as swappable in this POC</w:t>
            </w:r>
          </w:p>
        </w:tc>
      </w:tr>
      <w:tr>
        <w:tc>
          <w:tcPr>
            <w:tcW w:type="dxa" w:w="3200"/>
            <w:tcMar>
              <w:top w:type="dxa" w:w="80"/>
              <w:left w:type="dxa" w:w="100"/>
              <w:bottom w:type="dxa" w:w="80"/>
              <w:right w:type="dxa" w:w="100"/>
            </w:tcMar>
          </w:tcPr>
          <w:p>
            <w:r>
              <w:rPr>
                <w:b w:val="false"/>
                <w:bCs w:val="false"/>
                <w:color w:val="000000"/>
                <w:sz w:val="21"/>
                <w:szCs w:val="21"/>
              </w:rPr>
              <w:t xml:space="preserve">Forecast data quality</w:t>
            </w:r>
          </w:p>
        </w:tc>
        <w:tc>
          <w:tcPr>
            <w:tcW w:type="dxa" w:w="3000"/>
            <w:tcMar>
              <w:top w:type="dxa" w:w="80"/>
              <w:left w:type="dxa" w:w="100"/>
              <w:bottom w:type="dxa" w:w="80"/>
              <w:right w:type="dxa" w:w="100"/>
            </w:tcMar>
          </w:tcPr>
          <w:p>
            <w:r>
              <w:rPr>
                <w:b w:val="false"/>
                <w:bCs w:val="false"/>
                <w:color w:val="000000"/>
                <w:sz w:val="21"/>
                <w:szCs w:val="21"/>
              </w:rPr>
              <w:t xml:space="preserve">Poor recommendation on sparse sales history</w:t>
            </w:r>
          </w:p>
        </w:tc>
        <w:tc>
          <w:tcPr>
            <w:tcW w:type="dxa" w:w="3700"/>
            <w:tcMar>
              <w:top w:type="dxa" w:w="80"/>
              <w:left w:type="dxa" w:w="100"/>
              <w:bottom w:type="dxa" w:w="80"/>
              <w:right w:type="dxa" w:w="100"/>
            </w:tcMar>
          </w:tcPr>
          <w:p>
            <w:r>
              <w:rPr>
                <w:b w:val="false"/>
                <w:bCs w:val="false"/>
                <w:color w:val="000000"/>
                <w:sz w:val="21"/>
                <w:szCs w:val="21"/>
              </w:rPr>
              <w:t xml:space="preserve">Forecast stage returns an explicit confidence score scaled to data coverage, not a false-confident number</w:t>
            </w:r>
          </w:p>
        </w:tc>
      </w:tr>
      <w:tr>
        <w:tc>
          <w:tcPr>
            <w:tcW w:type="dxa" w:w="3200"/>
            <w:tcMar>
              <w:top w:type="dxa" w:w="80"/>
              <w:left w:type="dxa" w:w="100"/>
              <w:bottom w:type="dxa" w:w="80"/>
              <w:right w:type="dxa" w:w="100"/>
            </w:tcMar>
          </w:tcPr>
          <w:p>
            <w:r>
              <w:rPr>
                <w:b w:val="false"/>
                <w:bCs w:val="false"/>
                <w:color w:val="000000"/>
                <w:sz w:val="21"/>
                <w:szCs w:val="21"/>
              </w:rPr>
              <w:t xml:space="preserve">Unauthorized or unaudited action</w:t>
            </w:r>
          </w:p>
        </w:tc>
        <w:tc>
          <w:tcPr>
            <w:tcW w:type="dxa" w:w="3000"/>
            <w:tcMar>
              <w:top w:type="dxa" w:w="80"/>
              <w:left w:type="dxa" w:w="100"/>
              <w:bottom w:type="dxa" w:w="80"/>
              <w:right w:type="dxa" w:w="100"/>
            </w:tcMar>
          </w:tcPr>
          <w:p>
            <w:r>
              <w:rPr>
                <w:b w:val="false"/>
                <w:bCs w:val="false"/>
                <w:color w:val="000000"/>
                <w:sz w:val="21"/>
                <w:szCs w:val="21"/>
              </w:rPr>
              <w:t xml:space="preserve">Compliance exposure</w:t>
            </w:r>
          </w:p>
        </w:tc>
        <w:tc>
          <w:tcPr>
            <w:tcW w:type="dxa" w:w="3700"/>
            <w:tcMar>
              <w:top w:type="dxa" w:w="80"/>
              <w:left w:type="dxa" w:w="100"/>
              <w:bottom w:type="dxa" w:w="80"/>
              <w:right w:type="dxa" w:w="100"/>
            </w:tcMar>
          </w:tcPr>
          <w:p>
            <w:r>
              <w:rPr>
                <w:b w:val="false"/>
                <w:bCs w:val="false"/>
                <w:color w:val="000000"/>
                <w:sz w:val="21"/>
                <w:szCs w:val="21"/>
              </w:rPr>
              <w:t xml:space="preserve">Every write is role-checked at the API layer against Keycloak-issued tokens; nothing bypasses this path</w:t>
            </w:r>
          </w:p>
        </w:tc>
      </w:tr>
      <w:tr>
        <w:tc>
          <w:tcPr>
            <w:tcW w:type="dxa" w:w="3200"/>
            <w:tcMar>
              <w:top w:type="dxa" w:w="80"/>
              <w:left w:type="dxa" w:w="100"/>
              <w:bottom w:type="dxa" w:w="80"/>
              <w:right w:type="dxa" w:w="100"/>
            </w:tcMar>
          </w:tcPr>
          <w:p>
            <w:r>
              <w:rPr>
                <w:b w:val="false"/>
                <w:bCs w:val="false"/>
                <w:color w:val="000000"/>
                <w:sz w:val="21"/>
                <w:szCs w:val="21"/>
              </w:rPr>
              <w:t xml:space="preserve">Organizational trust in automated decisions</w:t>
            </w:r>
          </w:p>
        </w:tc>
        <w:tc>
          <w:tcPr>
            <w:tcW w:type="dxa" w:w="3000"/>
            <w:tcMar>
              <w:top w:type="dxa" w:w="80"/>
              <w:left w:type="dxa" w:w="100"/>
              <w:bottom w:type="dxa" w:w="80"/>
              <w:right w:type="dxa" w:w="100"/>
            </w:tcMar>
          </w:tcPr>
          <w:p>
            <w:r>
              <w:rPr>
                <w:b w:val="false"/>
                <w:bCs w:val="false"/>
                <w:color w:val="000000"/>
                <w:sz w:val="21"/>
                <w:szCs w:val="21"/>
              </w:rPr>
              <w:t xml:space="preserve">Slow adoption, shadow manual processes</w:t>
            </w:r>
          </w:p>
        </w:tc>
        <w:tc>
          <w:tcPr>
            <w:tcW w:type="dxa" w:w="3700"/>
            <w:tcMar>
              <w:top w:type="dxa" w:w="80"/>
              <w:left w:type="dxa" w:w="100"/>
              <w:bottom w:type="dxa" w:w="80"/>
              <w:right w:type="dxa" w:w="100"/>
            </w:tcMar>
          </w:tcPr>
          <w:p>
            <w:r>
              <w:rPr>
                <w:b w:val="false"/>
                <w:bCs w:val="false"/>
                <w:color w:val="000000"/>
                <w:sz w:val="21"/>
                <w:szCs w:val="21"/>
              </w:rPr>
              <w:t xml:space="preserve">Full decision transparency via the dashboard — any stakeholder can see exactly what the agent did and why, in plain language</w:t>
            </w:r>
          </w:p>
        </w:tc>
      </w:tr>
    </w:tbl>
    <w:p>
      <w:pPr>
        <w:pStyle w:val="Heading1"/>
        <w:spacing w:after="160" w:before="360"/>
      </w:pPr>
      <w:r>
        <w:t xml:space="preserve">10. Success Metrics</w:t>
      </w:r>
    </w:p>
    <w:p>
      <w:pPr>
        <w:spacing w:after="160"/>
        <w:jc w:val="both"/>
      </w:pPr>
      <w:r>
        <w:rPr>
          <w:b w:val="false"/>
          <w:bCs w:val="false"/>
          <w:i w:val="false"/>
          <w:iCs w:val="false"/>
        </w:rPr>
        <w:t xml:space="preserve">Proposed KPIs for the pilot phase, with baselines to be established in its first weeks: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3000"/>
      </w:tblGrid>
      <w:tr>
        <w:tc>
          <w:tcPr>
            <w:tcW w:type="dxa" w:w="4200"/>
            <w:shd w:fill="1E3A8A" w:val="clear"/>
            <w:tcMar>
              <w:top w:type="dxa" w:w="80"/>
              <w:left w:type="dxa" w:w="100"/>
              <w:bottom w:type="dxa" w:w="80"/>
              <w:right w:type="dxa" w:w="100"/>
            </w:tcMar>
          </w:tcPr>
          <w:p>
            <w:r>
              <w:rPr>
                <w:b/>
                <w:bCs/>
                <w:color w:val="FFFFFF"/>
                <w:sz w:val="21"/>
                <w:szCs w:val="21"/>
              </w:rPr>
              <w:t xml:space="preserve">Metric</w:t>
            </w:r>
          </w:p>
        </w:tc>
        <w:tc>
          <w:tcPr>
            <w:tcW w:type="dxa" w:w="2700"/>
            <w:shd w:fill="1E3A8A" w:val="clear"/>
            <w:tcMar>
              <w:top w:type="dxa" w:w="80"/>
              <w:left w:type="dxa" w:w="100"/>
              <w:bottom w:type="dxa" w:w="80"/>
              <w:right w:type="dxa" w:w="100"/>
            </w:tcMar>
          </w:tcPr>
          <w:p>
            <w:r>
              <w:rPr>
                <w:b/>
                <w:bCs/>
                <w:color w:val="FFFFFF"/>
                <w:sz w:val="21"/>
                <w:szCs w:val="21"/>
              </w:rPr>
              <w:t xml:space="preserve">Baseline</w:t>
            </w:r>
          </w:p>
        </w:tc>
        <w:tc>
          <w:tcPr>
            <w:tcW w:type="dxa" w:w="3000"/>
            <w:shd w:fill="1E3A8A" w:val="clear"/>
            <w:tcMar>
              <w:top w:type="dxa" w:w="80"/>
              <w:left w:type="dxa" w:w="100"/>
              <w:bottom w:type="dxa" w:w="80"/>
              <w:right w:type="dxa" w:w="100"/>
            </w:tcMar>
          </w:tcPr>
          <w:p>
            <w:r>
              <w:rPr>
                <w:b/>
                <w:bCs/>
                <w:color w:val="FFFFFF"/>
                <w:sz w:val="21"/>
                <w:szCs w:val="21"/>
              </w:rPr>
              <w:t xml:space="preserve">Target</w:t>
            </w:r>
          </w:p>
        </w:tc>
      </w:tr>
      <w:tr>
        <w:tc>
          <w:tcPr>
            <w:tcW w:type="dxa" w:w="4200"/>
            <w:tcMar>
              <w:top w:type="dxa" w:w="80"/>
              <w:left w:type="dxa" w:w="100"/>
              <w:bottom w:type="dxa" w:w="80"/>
              <w:right w:type="dxa" w:w="100"/>
            </w:tcMar>
          </w:tcPr>
          <w:p>
            <w:r>
              <w:rPr>
                <w:b w:val="false"/>
                <w:bCs w:val="false"/>
                <w:color w:val="000000"/>
                <w:sz w:val="21"/>
                <w:szCs w:val="21"/>
              </w:rPr>
              <w:t xml:space="preserve">Stockout rate, critical SKUs</w:t>
            </w:r>
          </w:p>
        </w:tc>
        <w:tc>
          <w:tcPr>
            <w:tcW w:type="dxa" w:w="2700"/>
            <w:tcMar>
              <w:top w:type="dxa" w:w="80"/>
              <w:left w:type="dxa" w:w="100"/>
              <w:bottom w:type="dxa" w:w="80"/>
              <w:right w:type="dxa" w:w="100"/>
            </w:tcMar>
          </w:tcPr>
          <w:p>
            <w:r>
              <w:rPr>
                <w:b w:val="false"/>
                <w:bCs w:val="false"/>
                <w:color w:val="000000"/>
                <w:sz w:val="21"/>
                <w:szCs w:val="21"/>
              </w:rPr>
              <w:t xml:space="preserve">To be measured</w:t>
            </w:r>
          </w:p>
        </w:tc>
        <w:tc>
          <w:tcPr>
            <w:tcW w:type="dxa" w:w="3000"/>
            <w:tcMar>
              <w:top w:type="dxa" w:w="80"/>
              <w:left w:type="dxa" w:w="100"/>
              <w:bottom w:type="dxa" w:w="80"/>
              <w:right w:type="dxa" w:w="100"/>
            </w:tcMar>
          </w:tcPr>
          <w:p>
            <w:r>
              <w:rPr>
                <w:b w:val="false"/>
                <w:bCs w:val="false"/>
                <w:color w:val="000000"/>
                <w:sz w:val="21"/>
                <w:szCs w:val="21"/>
              </w:rPr>
              <w:t xml:space="preserve">To be set after baseline</w:t>
            </w:r>
          </w:p>
        </w:tc>
      </w:tr>
      <w:tr>
        <w:tc>
          <w:tcPr>
            <w:tcW w:type="dxa" w:w="4200"/>
            <w:tcMar>
              <w:top w:type="dxa" w:w="80"/>
              <w:left w:type="dxa" w:w="100"/>
              <w:bottom w:type="dxa" w:w="80"/>
              <w:right w:type="dxa" w:w="100"/>
            </w:tcMar>
          </w:tcPr>
          <w:p>
            <w:r>
              <w:rPr>
                <w:b w:val="false"/>
                <w:bCs w:val="false"/>
                <w:color w:val="000000"/>
                <w:sz w:val="21"/>
                <w:szCs w:val="21"/>
              </w:rPr>
              <w:t xml:space="preserve">Time from detection to order placement</w:t>
            </w:r>
          </w:p>
        </w:tc>
        <w:tc>
          <w:tcPr>
            <w:tcW w:type="dxa" w:w="2700"/>
            <w:tcMar>
              <w:top w:type="dxa" w:w="80"/>
              <w:left w:type="dxa" w:w="100"/>
              <w:bottom w:type="dxa" w:w="80"/>
              <w:right w:type="dxa" w:w="100"/>
            </w:tcMar>
          </w:tcPr>
          <w:p>
            <w:r>
              <w:rPr>
                <w:b w:val="false"/>
                <w:bCs w:val="false"/>
                <w:color w:val="000000"/>
                <w:sz w:val="21"/>
                <w:szCs w:val="21"/>
              </w:rPr>
              <w:t xml:space="preserve">To be measured</w:t>
            </w:r>
          </w:p>
        </w:tc>
        <w:tc>
          <w:tcPr>
            <w:tcW w:type="dxa" w:w="3000"/>
            <w:tcMar>
              <w:top w:type="dxa" w:w="80"/>
              <w:left w:type="dxa" w:w="100"/>
              <w:bottom w:type="dxa" w:w="80"/>
              <w:right w:type="dxa" w:w="100"/>
            </w:tcMar>
          </w:tcPr>
          <w:p>
            <w:r>
              <w:rPr>
                <w:b w:val="false"/>
                <w:bCs w:val="false"/>
                <w:color w:val="000000"/>
                <w:sz w:val="21"/>
                <w:szCs w:val="21"/>
              </w:rPr>
              <w:t xml:space="preserve">Materially faster than current manual cycle</w:t>
            </w:r>
          </w:p>
        </w:tc>
      </w:tr>
      <w:tr>
        <w:tc>
          <w:tcPr>
            <w:tcW w:type="dxa" w:w="4200"/>
            <w:tcMar>
              <w:top w:type="dxa" w:w="80"/>
              <w:left w:type="dxa" w:w="100"/>
              <w:bottom w:type="dxa" w:w="80"/>
              <w:right w:type="dxa" w:w="100"/>
            </w:tcMar>
          </w:tcPr>
          <w:p>
            <w:r>
              <w:rPr>
                <w:b w:val="false"/>
                <w:bCs w:val="false"/>
                <w:color w:val="000000"/>
                <w:sz w:val="21"/>
                <w:szCs w:val="21"/>
              </w:rPr>
              <w:t xml:space="preserve">Share of orders auto-approved vs. human-reviewed</w:t>
            </w:r>
          </w:p>
        </w:tc>
        <w:tc>
          <w:tcPr>
            <w:tcW w:type="dxa" w:w="2700"/>
            <w:tcMar>
              <w:top w:type="dxa" w:w="80"/>
              <w:left w:type="dxa" w:w="100"/>
              <w:bottom w:type="dxa" w:w="80"/>
              <w:right w:type="dxa" w:w="100"/>
            </w:tcMar>
          </w:tcPr>
          <w:p>
            <w:r>
              <w:rPr>
                <w:b w:val="false"/>
                <w:bCs w:val="false"/>
                <w:color w:val="000000"/>
                <w:sz w:val="21"/>
                <w:szCs w:val="21"/>
              </w:rPr>
              <w:t xml:space="preserve">N/A (new metric)</w:t>
            </w:r>
          </w:p>
        </w:tc>
        <w:tc>
          <w:tcPr>
            <w:tcW w:type="dxa" w:w="3000"/>
            <w:tcMar>
              <w:top w:type="dxa" w:w="80"/>
              <w:left w:type="dxa" w:w="100"/>
              <w:bottom w:type="dxa" w:w="80"/>
              <w:right w:type="dxa" w:w="100"/>
            </w:tcMar>
          </w:tcPr>
          <w:p>
            <w:r>
              <w:rPr>
                <w:b w:val="false"/>
                <w:bCs w:val="false"/>
                <w:color w:val="000000"/>
                <w:sz w:val="21"/>
                <w:szCs w:val="21"/>
              </w:rPr>
              <w:t xml:space="preserve">Within the policy-defined critical-SKU threshold</w:t>
            </w:r>
          </w:p>
        </w:tc>
      </w:tr>
      <w:tr>
        <w:tc>
          <w:tcPr>
            <w:tcW w:type="dxa" w:w="4200"/>
            <w:tcMar>
              <w:top w:type="dxa" w:w="80"/>
              <w:left w:type="dxa" w:w="100"/>
              <w:bottom w:type="dxa" w:w="80"/>
              <w:right w:type="dxa" w:w="100"/>
            </w:tcMar>
          </w:tcPr>
          <w:p>
            <w:r>
              <w:rPr>
                <w:b w:val="false"/>
                <w:bCs w:val="false"/>
                <w:color w:val="000000"/>
                <w:sz w:val="21"/>
                <w:szCs w:val="21"/>
              </w:rPr>
              <w:t xml:space="preserve">LLM cost per replenishment decision</w:t>
            </w:r>
          </w:p>
        </w:tc>
        <w:tc>
          <w:tcPr>
            <w:tcW w:type="dxa" w:w="2700"/>
            <w:tcMar>
              <w:top w:type="dxa" w:w="80"/>
              <w:left w:type="dxa" w:w="100"/>
              <w:bottom w:type="dxa" w:w="80"/>
              <w:right w:type="dxa" w:w="100"/>
            </w:tcMar>
          </w:tcPr>
          <w:p>
            <w:r>
              <w:rPr>
                <w:b w:val="false"/>
                <w:bCs w:val="false"/>
                <w:color w:val="000000"/>
                <w:sz w:val="21"/>
                <w:szCs w:val="21"/>
              </w:rPr>
              <w:t xml:space="preserve">Measured continuously by the platform</w:t>
            </w:r>
          </w:p>
        </w:tc>
        <w:tc>
          <w:tcPr>
            <w:tcW w:type="dxa" w:w="3000"/>
            <w:tcMar>
              <w:top w:type="dxa" w:w="80"/>
              <w:left w:type="dxa" w:w="100"/>
              <w:bottom w:type="dxa" w:w="80"/>
              <w:right w:type="dxa" w:w="100"/>
            </w:tcMar>
          </w:tcPr>
          <w:p>
            <w:r>
              <w:rPr>
                <w:b w:val="false"/>
                <w:bCs w:val="false"/>
                <w:color w:val="000000"/>
                <w:sz w:val="21"/>
                <w:szCs w:val="21"/>
              </w:rPr>
              <w:t xml:space="preserve">Tracked for trend, not a fixed target</w:t>
            </w:r>
          </w:p>
        </w:tc>
      </w:tr>
      <w:tr>
        <w:tc>
          <w:tcPr>
            <w:tcW w:type="dxa" w:w="4200"/>
            <w:tcMar>
              <w:top w:type="dxa" w:w="80"/>
              <w:left w:type="dxa" w:w="100"/>
              <w:bottom w:type="dxa" w:w="80"/>
              <w:right w:type="dxa" w:w="100"/>
            </w:tcMar>
          </w:tcPr>
          <w:p>
            <w:r>
              <w:rPr>
                <w:b w:val="false"/>
                <w:bCs w:val="false"/>
                <w:color w:val="000000"/>
                <w:sz w:val="21"/>
                <w:szCs w:val="21"/>
              </w:rPr>
              <w:t xml:space="preserve">Escalation time-to-resolution</w:t>
            </w:r>
          </w:p>
        </w:tc>
        <w:tc>
          <w:tcPr>
            <w:tcW w:type="dxa" w:w="2700"/>
            <w:tcMar>
              <w:top w:type="dxa" w:w="80"/>
              <w:left w:type="dxa" w:w="100"/>
              <w:bottom w:type="dxa" w:w="80"/>
              <w:right w:type="dxa" w:w="100"/>
            </w:tcMar>
          </w:tcPr>
          <w:p>
            <w:r>
              <w:rPr>
                <w:b w:val="false"/>
                <w:bCs w:val="false"/>
                <w:color w:val="000000"/>
                <w:sz w:val="21"/>
                <w:szCs w:val="21"/>
              </w:rPr>
              <w:t xml:space="preserve">To be measured</w:t>
            </w:r>
          </w:p>
        </w:tc>
        <w:tc>
          <w:tcPr>
            <w:tcW w:type="dxa" w:w="3000"/>
            <w:tcMar>
              <w:top w:type="dxa" w:w="80"/>
              <w:left w:type="dxa" w:w="100"/>
              <w:bottom w:type="dxa" w:w="80"/>
              <w:right w:type="dxa" w:w="100"/>
            </w:tcMar>
          </w:tcPr>
          <w:p>
            <w:r>
              <w:rPr>
                <w:b w:val="false"/>
                <w:bCs w:val="false"/>
                <w:color w:val="000000"/>
                <w:sz w:val="21"/>
                <w:szCs w:val="21"/>
              </w:rPr>
              <w:t xml:space="preserve">To be set after baseline</w:t>
            </w:r>
          </w:p>
        </w:tc>
      </w:tr>
    </w:tbl>
    <w:p>
      <w:pPr>
        <w:pStyle w:val="Heading1"/>
        <w:spacing w:after="160" w:before="360"/>
      </w:pPr>
      <w:r>
        <w:t xml:space="preserve">11. Implementation Roadmap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700"/>
      </w:tblGrid>
      <w:tr>
        <w:tc>
          <w:tcPr>
            <w:tcW w:type="dxa" w:w="2000"/>
            <w:shd w:fill="1E3A8A" w:val="clear"/>
            <w:tcMar>
              <w:top w:type="dxa" w:w="80"/>
              <w:left w:type="dxa" w:w="100"/>
              <w:bottom w:type="dxa" w:w="80"/>
              <w:right w:type="dxa" w:w="100"/>
            </w:tcMar>
          </w:tcPr>
          <w:p>
            <w:r>
              <w:rPr>
                <w:b/>
                <w:bCs/>
                <w:color w:val="FFFFFF"/>
                <w:sz w:val="21"/>
                <w:szCs w:val="21"/>
              </w:rPr>
              <w:t xml:space="preserve">Phase</w:t>
            </w:r>
          </w:p>
        </w:tc>
        <w:tc>
          <w:tcPr>
            <w:tcW w:type="dxa" w:w="3200"/>
            <w:shd w:fill="1E3A8A" w:val="clear"/>
            <w:tcMar>
              <w:top w:type="dxa" w:w="80"/>
              <w:left w:type="dxa" w:w="100"/>
              <w:bottom w:type="dxa" w:w="80"/>
              <w:right w:type="dxa" w:w="100"/>
            </w:tcMar>
          </w:tcPr>
          <w:p>
            <w:r>
              <w:rPr>
                <w:b/>
                <w:bCs/>
                <w:color w:val="FFFFFF"/>
                <w:sz w:val="21"/>
                <w:szCs w:val="21"/>
              </w:rPr>
              <w:t xml:space="preserve">Scope</w:t>
            </w:r>
          </w:p>
        </w:tc>
        <w:tc>
          <w:tcPr>
            <w:tcW w:type="dxa" w:w="4700"/>
            <w:shd w:fill="1E3A8A" w:val="clear"/>
            <w:tcMar>
              <w:top w:type="dxa" w:w="80"/>
              <w:left w:type="dxa" w:w="100"/>
              <w:bottom w:type="dxa" w:w="80"/>
              <w:right w:type="dxa" w:w="100"/>
            </w:tcMar>
          </w:tcPr>
          <w:p>
            <w:r>
              <w:rPr>
                <w:b/>
                <w:bCs/>
                <w:color w:val="FFFFFF"/>
                <w:sz w:val="21"/>
                <w:szCs w:val="21"/>
              </w:rPr>
              <w:t xml:space="preserve">Exit criteria</w:t>
            </w:r>
          </w:p>
        </w:tc>
      </w:tr>
      <w:tr>
        <w:tc>
          <w:tcPr>
            <w:tcW w:type="dxa" w:w="2000"/>
            <w:tcMar>
              <w:top w:type="dxa" w:w="80"/>
              <w:left w:type="dxa" w:w="100"/>
              <w:bottom w:type="dxa" w:w="80"/>
              <w:right w:type="dxa" w:w="100"/>
            </w:tcMar>
          </w:tcPr>
          <w:p>
            <w:r>
              <w:rPr>
                <w:b w:val="false"/>
                <w:bCs w:val="false"/>
                <w:color w:val="000000"/>
                <w:sz w:val="21"/>
                <w:szCs w:val="21"/>
              </w:rPr>
              <w:t xml:space="preserve">0 — Proof of Concept (complete)</w:t>
            </w:r>
          </w:p>
        </w:tc>
        <w:tc>
          <w:tcPr>
            <w:tcW w:type="dxa" w:w="3200"/>
            <w:tcMar>
              <w:top w:type="dxa" w:w="80"/>
              <w:left w:type="dxa" w:w="100"/>
              <w:bottom w:type="dxa" w:w="80"/>
              <w:right w:type="dxa" w:w="100"/>
            </w:tcMar>
          </w:tcPr>
          <w:p>
            <w:r>
              <w:rPr>
                <w:b w:val="false"/>
                <w:bCs w:val="false"/>
                <w:color w:val="000000"/>
                <w:sz w:val="21"/>
                <w:szCs w:val="21"/>
              </w:rPr>
              <w:t xml:space="preserve">Full reference architecture; synthetic multi-store dataset; validated end to end</w:t>
            </w:r>
          </w:p>
        </w:tc>
        <w:tc>
          <w:tcPr>
            <w:tcW w:type="dxa" w:w="4700"/>
            <w:tcMar>
              <w:top w:type="dxa" w:w="80"/>
              <w:left w:type="dxa" w:w="100"/>
              <w:bottom w:type="dxa" w:w="80"/>
              <w:right w:type="dxa" w:w="100"/>
            </w:tcMar>
          </w:tcPr>
          <w:p>
            <w:r>
              <w:rPr>
                <w:b w:val="false"/>
                <w:bCs w:val="false"/>
                <w:color w:val="000000"/>
                <w:sz w:val="21"/>
                <w:szCs w:val="21"/>
              </w:rPr>
              <w:t xml:space="preserve">This document</w:t>
            </w:r>
          </w:p>
        </w:tc>
      </w:tr>
      <w:tr>
        <w:tc>
          <w:tcPr>
            <w:tcW w:type="dxa" w:w="2000"/>
            <w:tcMar>
              <w:top w:type="dxa" w:w="80"/>
              <w:left w:type="dxa" w:w="100"/>
              <w:bottom w:type="dxa" w:w="80"/>
              <w:right w:type="dxa" w:w="100"/>
            </w:tcMar>
          </w:tcPr>
          <w:p>
            <w:r>
              <w:rPr>
                <w:b w:val="false"/>
                <w:bCs w:val="false"/>
                <w:color w:val="000000"/>
                <w:sz w:val="21"/>
                <w:szCs w:val="21"/>
              </w:rPr>
              <w:t xml:space="preserve">1 — Pilot</w:t>
            </w:r>
          </w:p>
        </w:tc>
        <w:tc>
          <w:tcPr>
            <w:tcW w:type="dxa" w:w="3200"/>
            <w:tcMar>
              <w:top w:type="dxa" w:w="80"/>
              <w:left w:type="dxa" w:w="100"/>
              <w:bottom w:type="dxa" w:w="80"/>
              <w:right w:type="dxa" w:w="100"/>
            </w:tcMar>
          </w:tcPr>
          <w:p>
            <w:r>
              <w:rPr>
                <w:b w:val="false"/>
                <w:bCs w:val="false"/>
                <w:color w:val="000000"/>
                <w:sz w:val="21"/>
                <w:szCs w:val="21"/>
              </w:rPr>
              <w:t xml:space="preserve">One store, a defined set of critical SKUs; real sales history and real supplier data</w:t>
            </w:r>
          </w:p>
        </w:tc>
        <w:tc>
          <w:tcPr>
            <w:tcW w:type="dxa" w:w="4700"/>
            <w:tcMar>
              <w:top w:type="dxa" w:w="80"/>
              <w:left w:type="dxa" w:w="100"/>
              <w:bottom w:type="dxa" w:w="80"/>
              <w:right w:type="dxa" w:w="100"/>
            </w:tcMar>
          </w:tcPr>
          <w:p>
            <w:r>
              <w:rPr>
                <w:b w:val="false"/>
                <w:bCs w:val="false"/>
                <w:color w:val="000000"/>
                <w:sz w:val="21"/>
                <w:szCs w:val="21"/>
              </w:rPr>
              <w:t xml:space="preserve">Baseline metrics captured; stakeholder sign-off to expand</w:t>
            </w:r>
          </w:p>
        </w:tc>
      </w:tr>
      <w:tr>
        <w:tc>
          <w:tcPr>
            <w:tcW w:type="dxa" w:w="2000"/>
            <w:tcMar>
              <w:top w:type="dxa" w:w="80"/>
              <w:left w:type="dxa" w:w="100"/>
              <w:bottom w:type="dxa" w:w="80"/>
              <w:right w:type="dxa" w:w="100"/>
            </w:tcMar>
          </w:tcPr>
          <w:p>
            <w:r>
              <w:rPr>
                <w:b w:val="false"/>
                <w:bCs w:val="false"/>
                <w:color w:val="000000"/>
                <w:sz w:val="21"/>
                <w:szCs w:val="21"/>
              </w:rPr>
              <w:t xml:space="preserve">2 — Production hardening</w:t>
            </w:r>
          </w:p>
        </w:tc>
        <w:tc>
          <w:tcPr>
            <w:tcW w:type="dxa" w:w="3200"/>
            <w:tcMar>
              <w:top w:type="dxa" w:w="80"/>
              <w:left w:type="dxa" w:w="100"/>
              <w:bottom w:type="dxa" w:w="80"/>
              <w:right w:type="dxa" w:w="100"/>
            </w:tcMar>
          </w:tcPr>
          <w:p>
            <w:r>
              <w:rPr>
                <w:b w:val="false"/>
                <w:bCs w:val="false"/>
                <w:color w:val="000000"/>
                <w:sz w:val="21"/>
                <w:szCs w:val="21"/>
              </w:rPr>
              <w:t xml:space="preserve">Real supplier EDI/API integration replacing the simulated stub; production identity realm; observability and alerting</w:t>
            </w:r>
          </w:p>
        </w:tc>
        <w:tc>
          <w:tcPr>
            <w:tcW w:type="dxa" w:w="4700"/>
            <w:tcMar>
              <w:top w:type="dxa" w:w="80"/>
              <w:left w:type="dxa" w:w="100"/>
              <w:bottom w:type="dxa" w:w="80"/>
              <w:right w:type="dxa" w:w="100"/>
            </w:tcMar>
          </w:tcPr>
          <w:p>
            <w:r>
              <w:rPr>
                <w:b w:val="false"/>
                <w:bCs w:val="false"/>
                <w:color w:val="000000"/>
                <w:sz w:val="21"/>
                <w:szCs w:val="21"/>
              </w:rPr>
              <w:t xml:space="preserve">Passes production readiness review</w:t>
            </w:r>
          </w:p>
        </w:tc>
      </w:tr>
      <w:tr>
        <w:tc>
          <w:tcPr>
            <w:tcW w:type="dxa" w:w="2000"/>
            <w:tcMar>
              <w:top w:type="dxa" w:w="80"/>
              <w:left w:type="dxa" w:w="100"/>
              <w:bottom w:type="dxa" w:w="80"/>
              <w:right w:type="dxa" w:w="100"/>
            </w:tcMar>
          </w:tcPr>
          <w:p>
            <w:r>
              <w:rPr>
                <w:b w:val="false"/>
                <w:bCs w:val="false"/>
                <w:color w:val="000000"/>
                <w:sz w:val="21"/>
                <w:szCs w:val="21"/>
              </w:rPr>
              <w:t xml:space="preserve">3 — Scale and extend</w:t>
            </w:r>
          </w:p>
        </w:tc>
        <w:tc>
          <w:tcPr>
            <w:tcW w:type="dxa" w:w="3200"/>
            <w:tcMar>
              <w:top w:type="dxa" w:w="80"/>
              <w:left w:type="dxa" w:w="100"/>
              <w:bottom w:type="dxa" w:w="80"/>
              <w:right w:type="dxa" w:w="100"/>
            </w:tcMar>
          </w:tcPr>
          <w:p>
            <w:r>
              <w:rPr>
                <w:b w:val="false"/>
                <w:bCs w:val="false"/>
                <w:color w:val="000000"/>
                <w:sz w:val="21"/>
                <w:szCs w:val="21"/>
              </w:rPr>
              <w:t xml:space="preserve">Broader SKU/store rollout; evaluate platform reuse for adjacent agentic-AI use cases</w:t>
            </w:r>
          </w:p>
        </w:tc>
        <w:tc>
          <w:tcPr>
            <w:tcW w:type="dxa" w:w="4700"/>
            <w:tcMar>
              <w:top w:type="dxa" w:w="80"/>
              <w:left w:type="dxa" w:w="100"/>
              <w:bottom w:type="dxa" w:w="80"/>
              <w:right w:type="dxa" w:w="100"/>
            </w:tcMar>
          </w:tcPr>
          <w:p>
            <w:r>
              <w:rPr>
                <w:b w:val="false"/>
                <w:bCs w:val="false"/>
                <w:color w:val="000000"/>
                <w:sz w:val="21"/>
                <w:szCs w:val="21"/>
              </w:rPr>
              <w:t xml:space="preserve">Adoption and value targets met</w:t>
            </w:r>
          </w:p>
        </w:tc>
      </w:tr>
    </w:tbl>
    <w:p>
      <w:pPr>
        <w:pStyle w:val="Heading1"/>
        <w:spacing w:after="160" w:before="360"/>
      </w:pPr>
      <w:r>
        <w:t xml:space="preserve">12. Governance Model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3100"/>
      </w:tblGrid>
      <w:tr>
        <w:tc>
          <w:tcPr>
            <w:tcW w:type="dxa" w:w="2800"/>
            <w:shd w:fill="1E3A8A" w:val="clear"/>
            <w:tcMar>
              <w:top w:type="dxa" w:w="80"/>
              <w:left w:type="dxa" w:w="100"/>
              <w:bottom w:type="dxa" w:w="80"/>
              <w:right w:type="dxa" w:w="100"/>
            </w:tcMar>
          </w:tcPr>
          <w:p>
            <w:r>
              <w:rPr>
                <w:b/>
                <w:bCs/>
                <w:color w:val="FFFFFF"/>
                <w:sz w:val="21"/>
                <w:szCs w:val="21"/>
              </w:rPr>
              <w:t xml:space="preserve">Role</w:t>
            </w:r>
          </w:p>
        </w:tc>
        <w:tc>
          <w:tcPr>
            <w:tcW w:type="dxa" w:w="4000"/>
            <w:shd w:fill="1E3A8A" w:val="clear"/>
            <w:tcMar>
              <w:top w:type="dxa" w:w="80"/>
              <w:left w:type="dxa" w:w="100"/>
              <w:bottom w:type="dxa" w:w="80"/>
              <w:right w:type="dxa" w:w="100"/>
            </w:tcMar>
          </w:tcPr>
          <w:p>
            <w:r>
              <w:rPr>
                <w:b/>
                <w:bCs/>
                <w:color w:val="FFFFFF"/>
                <w:sz w:val="21"/>
                <w:szCs w:val="21"/>
              </w:rPr>
              <w:t xml:space="preserve">Responsibility</w:t>
            </w:r>
          </w:p>
        </w:tc>
        <w:tc>
          <w:tcPr>
            <w:tcW w:type="dxa" w:w="3100"/>
            <w:shd w:fill="1E3A8A" w:val="clear"/>
            <w:tcMar>
              <w:top w:type="dxa" w:w="80"/>
              <w:left w:type="dxa" w:w="100"/>
              <w:bottom w:type="dxa" w:w="80"/>
              <w:right w:type="dxa" w:w="100"/>
            </w:tcMar>
          </w:tcPr>
          <w:p>
            <w:r>
              <w:rPr>
                <w:b/>
                <w:bCs/>
                <w:color w:val="FFFFFF"/>
                <w:sz w:val="21"/>
                <w:szCs w:val="21"/>
              </w:rPr>
              <w:t xml:space="preserve">How it's enforced</w:t>
            </w:r>
          </w:p>
        </w:tc>
      </w:tr>
      <w:tr>
        <w:tc>
          <w:tcPr>
            <w:tcW w:type="dxa" w:w="2800"/>
            <w:tcMar>
              <w:top w:type="dxa" w:w="80"/>
              <w:left w:type="dxa" w:w="100"/>
              <w:bottom w:type="dxa" w:w="80"/>
              <w:right w:type="dxa" w:w="100"/>
            </w:tcMar>
          </w:tcPr>
          <w:p>
            <w:r>
              <w:rPr>
                <w:b w:val="false"/>
                <w:bCs w:val="false"/>
                <w:color w:val="000000"/>
                <w:sz w:val="21"/>
                <w:szCs w:val="21"/>
              </w:rPr>
              <w:t xml:space="preserve">Supply Chain Manager (human)</w:t>
            </w:r>
          </w:p>
        </w:tc>
        <w:tc>
          <w:tcPr>
            <w:tcW w:type="dxa" w:w="4000"/>
            <w:tcMar>
              <w:top w:type="dxa" w:w="80"/>
              <w:left w:type="dxa" w:w="100"/>
              <w:bottom w:type="dxa" w:w="80"/>
              <w:right w:type="dxa" w:w="100"/>
            </w:tcMar>
          </w:tcPr>
          <w:p>
            <w:r>
              <w:rPr>
                <w:b w:val="false"/>
                <w:bCs w:val="false"/>
                <w:color w:val="000000"/>
                <w:sz w:val="21"/>
                <w:szCs w:val="21"/>
              </w:rPr>
              <w:t xml:space="preserve">Approve or cancel recommended orders; acknowledge and resolve shortage escalations</w:t>
            </w:r>
          </w:p>
        </w:tc>
        <w:tc>
          <w:tcPr>
            <w:tcW w:type="dxa" w:w="3100"/>
            <w:tcMar>
              <w:top w:type="dxa" w:w="80"/>
              <w:left w:type="dxa" w:w="100"/>
              <w:bottom w:type="dxa" w:w="80"/>
              <w:right w:type="dxa" w:w="100"/>
            </w:tcMar>
          </w:tcPr>
          <w:p>
            <w:r>
              <w:rPr>
                <w:b w:val="false"/>
                <w:bCs w:val="false"/>
                <w:color w:val="000000"/>
                <w:sz w:val="21"/>
                <w:szCs w:val="21"/>
              </w:rPr>
              <w:t xml:space="preserve">Keycloak role, checked on every relevant API call</w:t>
            </w:r>
          </w:p>
        </w:tc>
      </w:tr>
      <w:tr>
        <w:tc>
          <w:tcPr>
            <w:tcW w:type="dxa" w:w="2800"/>
            <w:tcMar>
              <w:top w:type="dxa" w:w="80"/>
              <w:left w:type="dxa" w:w="100"/>
              <w:bottom w:type="dxa" w:w="80"/>
              <w:right w:type="dxa" w:w="100"/>
            </w:tcMar>
          </w:tcPr>
          <w:p>
            <w:r>
              <w:rPr>
                <w:b w:val="false"/>
                <w:bCs w:val="false"/>
                <w:color w:val="000000"/>
                <w:sz w:val="21"/>
                <w:szCs w:val="21"/>
              </w:rPr>
              <w:t xml:space="preserve">Replenishment Agent (service identity)</w:t>
            </w:r>
          </w:p>
        </w:tc>
        <w:tc>
          <w:tcPr>
            <w:tcW w:type="dxa" w:w="4000"/>
            <w:tcMar>
              <w:top w:type="dxa" w:w="80"/>
              <w:left w:type="dxa" w:w="100"/>
              <w:bottom w:type="dxa" w:w="80"/>
              <w:right w:type="dxa" w:w="100"/>
            </w:tcMar>
          </w:tcPr>
          <w:p>
            <w:r>
              <w:rPr>
                <w:b w:val="false"/>
                <w:bCs w:val="false"/>
                <w:color w:val="000000"/>
                <w:sz w:val="21"/>
                <w:szCs w:val="21"/>
              </w:rPr>
              <w:t xml:space="preserve">Autonomous execution of the pipeline within defined auto-approval policy</w:t>
            </w:r>
          </w:p>
        </w:tc>
        <w:tc>
          <w:tcPr>
            <w:tcW w:type="dxa" w:w="3100"/>
            <w:tcMar>
              <w:top w:type="dxa" w:w="80"/>
              <w:left w:type="dxa" w:w="100"/>
              <w:bottom w:type="dxa" w:w="80"/>
              <w:right w:type="dxa" w:w="100"/>
            </w:tcMar>
          </w:tcPr>
          <w:p>
            <w:r>
              <w:rPr>
                <w:b w:val="false"/>
                <w:bCs w:val="false"/>
                <w:color w:val="000000"/>
                <w:sz w:val="21"/>
                <w:szCs w:val="21"/>
              </w:rPr>
              <w:t xml:space="preserve">Keycloak service-account role; every action logged to the audit trail</w:t>
            </w:r>
          </w:p>
        </w:tc>
      </w:tr>
      <w:tr>
        <w:tc>
          <w:tcPr>
            <w:tcW w:type="dxa" w:w="2800"/>
            <w:tcMar>
              <w:top w:type="dxa" w:w="80"/>
              <w:left w:type="dxa" w:w="100"/>
              <w:bottom w:type="dxa" w:w="80"/>
              <w:right w:type="dxa" w:w="100"/>
            </w:tcMar>
          </w:tcPr>
          <w:p>
            <w:r>
              <w:rPr>
                <w:b w:val="false"/>
                <w:bCs w:val="false"/>
                <w:color w:val="000000"/>
                <w:sz w:val="21"/>
                <w:szCs w:val="21"/>
              </w:rPr>
              <w:t xml:space="preserve">Dashboard Viewer</w:t>
            </w:r>
          </w:p>
        </w:tc>
        <w:tc>
          <w:tcPr>
            <w:tcW w:type="dxa" w:w="4000"/>
            <w:tcMar>
              <w:top w:type="dxa" w:w="80"/>
              <w:left w:type="dxa" w:w="100"/>
              <w:bottom w:type="dxa" w:w="80"/>
              <w:right w:type="dxa" w:w="100"/>
            </w:tcMar>
          </w:tcPr>
          <w:p>
            <w:r>
              <w:rPr>
                <w:b w:val="false"/>
                <w:bCs w:val="false"/>
                <w:color w:val="000000"/>
                <w:sz w:val="21"/>
                <w:szCs w:val="21"/>
              </w:rPr>
              <w:t xml:space="preserve">Read-only oversight of runs, orders, and escalations</w:t>
            </w:r>
          </w:p>
        </w:tc>
        <w:tc>
          <w:tcPr>
            <w:tcW w:type="dxa" w:w="3100"/>
            <w:tcMar>
              <w:top w:type="dxa" w:w="80"/>
              <w:left w:type="dxa" w:w="100"/>
              <w:bottom w:type="dxa" w:w="80"/>
              <w:right w:type="dxa" w:w="100"/>
            </w:tcMar>
          </w:tcPr>
          <w:p>
            <w:r>
              <w:rPr>
                <w:b w:val="false"/>
                <w:bCs w:val="false"/>
                <w:color w:val="000000"/>
                <w:sz w:val="21"/>
                <w:szCs w:val="21"/>
              </w:rPr>
              <w:t xml:space="preserve">Keycloak role, read-only endpoints only</w:t>
            </w:r>
          </w:p>
        </w:tc>
      </w:tr>
    </w:tbl>
    <w:p>
      <w:pPr>
        <w:pStyle w:val="Heading1"/>
        <w:spacing w:after="160" w:before="360"/>
      </w:pPr>
      <w:r>
        <w:t xml:space="preserve">13. Recommendation</w:t>
      </w:r>
    </w:p>
    <w:p>
      <w:pPr>
        <w:spacing w:after="160"/>
        <w:jc w:val="both"/>
      </w:pPr>
      <w:r>
        <w:rPr>
          <w:b w:val="false"/>
          <w:bCs w:val="false"/>
          <w:i w:val="false"/>
          <w:iCs w:val="false"/>
        </w:rPr>
        <w:t xml:space="preserve">Approve a scoped pilot — one store, a defined set of critical SKUs, a fixed evaluation window — to validate this architecture against real sales history and real supplier relationships, and to establish the financial baseline this business case has deliberately left open rather than estimated. The proof of concept has already demonstrated that the harder architectural problems — secure multi-party identity, governed autonomous action, and a genuine audit trail for AI-assisted decisions — are solved and working. The pilot's job is to prove the business outcome, not the technology.</w:t>
      </w:r>
    </w:p>
    <w:p>
      <w:r>
        <w:br w:type="page"/>
      </w:r>
    </w:p>
    <w:p>
      <w:pPr>
        <w:pStyle w:val="Heading1"/>
        <w:spacing w:after="160" w:before="360"/>
      </w:pPr>
      <w:r>
        <w:t xml:space="preserve">Appendix: Technical Reference Summary</w:t>
      </w:r>
    </w:p>
    <w:p>
      <w:pPr>
        <w:spacing w:after="160"/>
        <w:jc w:val="both"/>
      </w:pPr>
      <w:r>
        <w:rPr>
          <w:b w:val="false"/>
          <w:bCs w:val="false"/>
          <w:i w:val="false"/>
          <w:iCs w:val="false"/>
        </w:rPr>
        <w:t xml:space="preserve">For readers who want the underlying engineering detail: the platform comprises a Spring Boot 3.5 REST API (Java 21, Hibernate 6) backed by a 21-table MySQL 8 schema; Keycloak-issued OAuth2 JWTs secure every endpoint via Spring Security, with roles mapped from Keycloak's realm-role claim; RabbitMQ decouples order-transmission and delivery-tracking side effects from the request/response path; an Angular 21 single-page application provides the operator dashboard, authenticating via Authorization Code + PKCE; and a Python LangGraph agent executes the five-stage pipeline as a governed OAuth2 client-credentials service identity, calling a large language model for the two genuine judgment calls in the flow. All source, schema, and configuration are available for technical review 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3A8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0B1F4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2026-09-11T20:58:53.392Z</dcterms:created>
  <dcterms:modified xsi:type="dcterms:W3CDTF">2026-09-11T20:58:53.402Z</dcterms:modified>
</cp:coreProperties>
</file>

<file path=docProps/custom.xml><?xml version="1.0" encoding="utf-8"?>
<Properties xmlns="http://schemas.openxmlformats.org/officeDocument/2006/custom-properties" xmlns:vt="http://schemas.openxmlformats.org/officeDocument/2006/docPropsVTypes"/>
</file>