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Student Information Chatbot</w:t>
        <w:br/>
        <w:t>Project Report</w:t>
      </w:r>
    </w:p>
    <w:p>
      <w:pPr>
        <w:jc w:val="center"/>
      </w:pPr>
      <w:r>
        <w:rPr>
          <w:i/>
          <w:sz w:val="28"/>
        </w:rPr>
        <w:t>Machine Learning Based University Student Support Assistant</w:t>
      </w:r>
    </w:p>
    <w:p>
      <w:pPr>
        <w:jc w:val="center"/>
      </w:pPr>
      <w:r>
        <w:br/>
        <w:t>Project Status: Completed academic/demo prototype</w:t>
        <w:br/>
      </w:r>
      <w:r>
        <w:t>Generated: May 22, 2026</w:t>
        <w:br/>
      </w:r>
      <w:r>
        <w:t>Workspace: student information chatbot</w:t>
      </w:r>
    </w:p>
    <w:p>
      <w:r>
        <w:br w:type="page"/>
      </w:r>
    </w:p>
    <w:p>
      <w:pPr>
        <w:pStyle w:val="Heading1"/>
      </w:pPr>
      <w:r>
        <w:t>Executive Summary</w:t>
      </w:r>
    </w:p>
    <w:p>
      <w:r>
        <w:t>The Student Information Chatbot is a university-focused conversational assistant designed to answer student questions about registration, courses, fees, exams, schedules, campus locations, contacts, scholarships, and student services. The system combines a machine learning intent classifier with rule-based named entity recognition, knowledge-base responses, out-of-domain protection, context handling, a Tkinter GUI, logging, and evaluation tools.</w:t>
      </w:r>
    </w:p>
    <w:p>
      <w:r>
        <w:t>The project is complete as an academic and demonstration-ready prototype. The current end-to-end chatbot pipeline achieved perfect performance on the prepared human evaluation set, while the raw classifier remains slightly weaker, showing that the practical chatbot quality depends on the combined ML and rule-based architecture.</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1F4E79"/>
          </w:tcPr>
          <w:p>
            <w:r/>
            <w:r>
              <w:rPr>
                <w:b/>
                <w:color w:val="FFFFFF"/>
              </w:rPr>
              <w:t>Evaluation Area</w:t>
            </w:r>
          </w:p>
        </w:tc>
        <w:tc>
          <w:tcPr>
            <w:tcW w:type="dxa" w:w="3264"/>
            <w:vAlign w:val="center"/>
            <w:shd w:fill="1F4E79"/>
          </w:tcPr>
          <w:p>
            <w:r/>
            <w:r>
              <w:rPr>
                <w:b/>
                <w:color w:val="FFFFFF"/>
              </w:rPr>
              <w:t>Current Result</w:t>
            </w:r>
          </w:p>
        </w:tc>
        <w:tc>
          <w:tcPr>
            <w:tcW w:type="dxa" w:w="3264"/>
            <w:vAlign w:val="center"/>
            <w:shd w:fill="1F4E79"/>
          </w:tcPr>
          <w:p>
            <w:r/>
            <w:r>
              <w:rPr>
                <w:b/>
                <w:color w:val="FFFFFF"/>
              </w:rPr>
              <w:t>Interpretation</w:t>
            </w:r>
          </w:p>
        </w:tc>
      </w:tr>
      <w:tr>
        <w:tc>
          <w:tcPr>
            <w:tcW w:type="dxa" w:w="3264"/>
            <w:vAlign w:val="center"/>
          </w:tcPr>
          <w:p>
            <w:r/>
            <w:r>
              <w:rPr>
                <w:b w:val="0"/>
              </w:rPr>
              <w:t>Training test accuracy</w:t>
            </w:r>
          </w:p>
        </w:tc>
        <w:tc>
          <w:tcPr>
            <w:tcW w:type="dxa" w:w="3264"/>
            <w:vAlign w:val="center"/>
          </w:tcPr>
          <w:p>
            <w:r/>
            <w:r>
              <w:rPr>
                <w:b w:val="0"/>
              </w:rPr>
              <w:t>95.53%</w:t>
            </w:r>
          </w:p>
        </w:tc>
        <w:tc>
          <w:tcPr>
            <w:tcW w:type="dxa" w:w="3264"/>
            <w:vAlign w:val="center"/>
          </w:tcPr>
          <w:p>
            <w:r/>
            <w:r>
              <w:rPr>
                <w:b w:val="0"/>
              </w:rPr>
              <w:t>Strong classifier performance on held-out split from intents.json</w:t>
            </w:r>
          </w:p>
        </w:tc>
      </w:tr>
      <w:tr>
        <w:tc>
          <w:tcPr>
            <w:tcW w:type="dxa" w:w="3264"/>
            <w:vAlign w:val="center"/>
          </w:tcPr>
          <w:p>
            <w:r/>
            <w:r>
              <w:rPr>
                <w:b w:val="0"/>
              </w:rPr>
              <w:t>Training macro F1</w:t>
            </w:r>
          </w:p>
        </w:tc>
        <w:tc>
          <w:tcPr>
            <w:tcW w:type="dxa" w:w="3264"/>
            <w:vAlign w:val="center"/>
          </w:tcPr>
          <w:p>
            <w:r/>
            <w:r>
              <w:rPr>
                <w:b w:val="0"/>
              </w:rPr>
              <w:t>0.8412</w:t>
            </w:r>
          </w:p>
        </w:tc>
        <w:tc>
          <w:tcPr>
            <w:tcW w:type="dxa" w:w="3264"/>
            <w:vAlign w:val="center"/>
          </w:tcPr>
          <w:p>
            <w:r/>
            <w:r>
              <w:rPr>
                <w:b w:val="0"/>
              </w:rPr>
              <w:t>Good overall balance, with weaker minority classes such as help and fallback</w:t>
            </w:r>
          </w:p>
        </w:tc>
      </w:tr>
      <w:tr>
        <w:tc>
          <w:tcPr>
            <w:tcW w:type="dxa" w:w="3264"/>
            <w:vAlign w:val="center"/>
          </w:tcPr>
          <w:p>
            <w:r/>
            <w:r>
              <w:rPr>
                <w:b w:val="0"/>
              </w:rPr>
              <w:t>Classifier-only evaluation</w:t>
            </w:r>
          </w:p>
        </w:tc>
        <w:tc>
          <w:tcPr>
            <w:tcW w:type="dxa" w:w="3264"/>
            <w:vAlign w:val="center"/>
          </w:tcPr>
          <w:p>
            <w:r/>
            <w:r>
              <w:rPr>
                <w:b w:val="0"/>
              </w:rPr>
              <w:t>91.53% accuracy; 90.10% balanced accuracy</w:t>
            </w:r>
          </w:p>
        </w:tc>
        <w:tc>
          <w:tcPr>
            <w:tcW w:type="dxa" w:w="3264"/>
            <w:vAlign w:val="center"/>
          </w:tcPr>
          <w:p>
            <w:r/>
            <w:r>
              <w:rPr>
                <w:b w:val="0"/>
              </w:rPr>
              <w:t>Raw model is strong but still misses some nuanced phrasing</w:t>
            </w:r>
          </w:p>
        </w:tc>
      </w:tr>
      <w:tr>
        <w:tc>
          <w:tcPr>
            <w:tcW w:type="dxa" w:w="3264"/>
            <w:vAlign w:val="center"/>
          </w:tcPr>
          <w:p>
            <w:r/>
            <w:r>
              <w:rPr>
                <w:b w:val="0"/>
              </w:rPr>
              <w:t>End-to-end ChatbotEngine evaluation</w:t>
            </w:r>
          </w:p>
        </w:tc>
        <w:tc>
          <w:tcPr>
            <w:tcW w:type="dxa" w:w="3264"/>
            <w:vAlign w:val="center"/>
          </w:tcPr>
          <w:p>
            <w:r/>
            <w:r>
              <w:rPr>
                <w:b w:val="0"/>
              </w:rPr>
              <w:t>100.00% accuracy; 100.00% balanced accuracy</w:t>
            </w:r>
          </w:p>
        </w:tc>
        <w:tc>
          <w:tcPr>
            <w:tcW w:type="dxa" w:w="3264"/>
            <w:vAlign w:val="center"/>
          </w:tcPr>
          <w:p>
            <w:r/>
            <w:r>
              <w:rPr>
                <w:b w:val="0"/>
              </w:rPr>
              <w:t>The full chatbot pipeline handles the prepared evaluation set successfully</w:t>
            </w:r>
          </w:p>
        </w:tc>
      </w:tr>
      <w:tr>
        <w:tc>
          <w:tcPr>
            <w:tcW w:type="dxa" w:w="3264"/>
            <w:vAlign w:val="center"/>
          </w:tcPr>
          <w:p>
            <w:r/>
            <w:r>
              <w:rPr>
                <w:b w:val="0"/>
              </w:rPr>
              <w:t>End-to-end OOD rejection</w:t>
            </w:r>
          </w:p>
        </w:tc>
        <w:tc>
          <w:tcPr>
            <w:tcW w:type="dxa" w:w="3264"/>
            <w:vAlign w:val="center"/>
          </w:tcPr>
          <w:p>
            <w:r/>
            <w:r>
              <w:rPr>
                <w:b w:val="0"/>
              </w:rPr>
              <w:t>12/12</w:t>
            </w:r>
          </w:p>
        </w:tc>
        <w:tc>
          <w:tcPr>
            <w:tcW w:type="dxa" w:w="3264"/>
            <w:vAlign w:val="center"/>
          </w:tcPr>
          <w:p>
            <w:r/>
            <w:r>
              <w:rPr>
                <w:b w:val="0"/>
              </w:rPr>
              <w:t>All unrelated queries in the test set were rejected</w:t>
            </w:r>
          </w:p>
        </w:tc>
      </w:tr>
      <w:tr>
        <w:tc>
          <w:tcPr>
            <w:tcW w:type="dxa" w:w="3264"/>
            <w:vAlign w:val="center"/>
          </w:tcPr>
          <w:p>
            <w:r/>
            <w:r>
              <w:rPr>
                <w:b w:val="0"/>
              </w:rPr>
              <w:t>Functional audit</w:t>
            </w:r>
          </w:p>
        </w:tc>
        <w:tc>
          <w:tcPr>
            <w:tcW w:type="dxa" w:w="3264"/>
            <w:vAlign w:val="center"/>
          </w:tcPr>
          <w:p>
            <w:r/>
            <w:r>
              <w:rPr>
                <w:b w:val="0"/>
              </w:rPr>
              <w:t>60/60 passed</w:t>
            </w:r>
          </w:p>
        </w:tc>
        <w:tc>
          <w:tcPr>
            <w:tcW w:type="dxa" w:w="3264"/>
            <w:vAlign w:val="center"/>
          </w:tcPr>
          <w:p>
            <w:r/>
            <w:r>
              <w:rPr>
                <w:b w:val="0"/>
              </w:rPr>
              <w:t>All scripted functional checks passed</w:t>
            </w:r>
          </w:p>
        </w:tc>
      </w:tr>
      <w:tr>
        <w:tc>
          <w:tcPr>
            <w:tcW w:type="dxa" w:w="3264"/>
            <w:vAlign w:val="center"/>
          </w:tcPr>
          <w:p>
            <w:r/>
            <w:r>
              <w:rPr>
                <w:b w:val="0"/>
              </w:rPr>
              <w:t>Multi-turn context evaluation</w:t>
            </w:r>
          </w:p>
        </w:tc>
        <w:tc>
          <w:tcPr>
            <w:tcW w:type="dxa" w:w="3264"/>
            <w:vAlign w:val="center"/>
          </w:tcPr>
          <w:p>
            <w:r/>
            <w:r>
              <w:rPr>
                <w:b w:val="0"/>
              </w:rPr>
              <w:t>4/4 passed</w:t>
            </w:r>
          </w:p>
        </w:tc>
        <w:tc>
          <w:tcPr>
            <w:tcW w:type="dxa" w:w="3264"/>
            <w:vAlign w:val="center"/>
          </w:tcPr>
          <w:p>
            <w:r/>
            <w:r>
              <w:rPr>
                <w:b w:val="0"/>
              </w:rPr>
              <w:t>Follow-up query handling works on prepared context tests</w:t>
            </w:r>
          </w:p>
        </w:tc>
      </w:tr>
    </w:tbl>
    <w:p/>
    <w:p>
      <w:pPr>
        <w:pStyle w:val="Heading1"/>
      </w:pPr>
      <w:r>
        <w:t>1. Introduction</w:t>
      </w:r>
    </w:p>
    <w:p>
      <w:r>
        <w:t>Universities receive frequent repetitive questions from students about administrative and academic services. A chatbot can reduce waiting time, provide consistent answers, and guide students toward the correct office or service. This project implements a specialized chatbot limited to university student information rather than a general-purpose conversational system.</w:t>
      </w:r>
    </w:p>
    <w:p>
      <w:pPr>
        <w:pStyle w:val="Heading2"/>
      </w:pPr>
      <w:r>
        <w:t>1.1 Problem Statement</w:t>
      </w:r>
    </w:p>
    <w:p>
      <w:r>
        <w:t>Students often need quick answers about registration deadlines, course availability, fees, exam schedules, campus offices, scholarships, and student support services. Manual handling of these questions can be slow and repetitive. The project addresses this by building a focused assistant that identifies student intent, extracts relevant campus entities, and returns a useful response from verified project data.</w:t>
      </w:r>
    </w:p>
    <w:p>
      <w:pPr>
        <w:pStyle w:val="Heading2"/>
      </w:pPr>
      <w:r>
        <w:t>1.2 Objectives</w:t>
      </w:r>
    </w:p>
    <w:p>
      <w:pPr>
        <w:pStyle w:val="ListBullet"/>
      </w:pPr>
      <w:r>
        <w:t>Classify student questions into supported university information intents.</w:t>
      </w:r>
    </w:p>
    <w:p>
      <w:pPr>
        <w:pStyle w:val="ListBullet"/>
      </w:pPr>
      <w:r>
        <w:t>Extract relevant entities such as departments, offices, buildings, services, and dates.</w:t>
      </w:r>
    </w:p>
    <w:p>
      <w:pPr>
        <w:pStyle w:val="ListBullet"/>
      </w:pPr>
      <w:r>
        <w:t>Answer using structured knowledge-base information where possible.</w:t>
      </w:r>
    </w:p>
    <w:p>
      <w:pPr>
        <w:pStyle w:val="ListBullet"/>
      </w:pPr>
      <w:r>
        <w:t>Reject unrelated out-of-domain questions safely.</w:t>
      </w:r>
    </w:p>
    <w:p>
      <w:pPr>
        <w:pStyle w:val="ListBullet"/>
      </w:pPr>
      <w:r>
        <w:t>Support follow-up questions through conversation context.</w:t>
      </w:r>
    </w:p>
    <w:p>
      <w:pPr>
        <w:pStyle w:val="ListBullet"/>
      </w:pPr>
      <w:r>
        <w:t>Provide both CLI and GUI access for demonstration and testing.</w:t>
      </w:r>
    </w:p>
    <w:p>
      <w:pPr>
        <w:pStyle w:val="ListBullet"/>
      </w:pPr>
      <w:r>
        <w:t>Evaluate performance using training reports, human-style test data, audit tests, and context tests.</w:t>
      </w:r>
    </w:p>
    <w:p>
      <w:pPr>
        <w:pStyle w:val="Heading1"/>
      </w:pPr>
      <w:r>
        <w:t>2. Project Scope</w:t>
      </w:r>
    </w:p>
    <w:p>
      <w:r>
        <w:t>The chatbot supports the following domain intents:</w:t>
      </w:r>
    </w:p>
    <w:p>
      <w:pPr>
        <w:pStyle w:val="ListBullet"/>
      </w:pPr>
      <w:r>
        <w:t>Greeting, goodbye, thanks, and help</w:t>
      </w:r>
    </w:p>
    <w:p>
      <w:pPr>
        <w:pStyle w:val="ListBullet"/>
      </w:pPr>
      <w:r>
        <w:t>Registration and course enrollment</w:t>
      </w:r>
    </w:p>
    <w:p>
      <w:pPr>
        <w:pStyle w:val="ListBullet"/>
      </w:pPr>
      <w:r>
        <w:t>Courses and academic programs</w:t>
      </w:r>
    </w:p>
    <w:p>
      <w:pPr>
        <w:pStyle w:val="ListBullet"/>
      </w:pPr>
      <w:r>
        <w:t>Fees and payments</w:t>
      </w:r>
    </w:p>
    <w:p>
      <w:pPr>
        <w:pStyle w:val="ListBullet"/>
      </w:pPr>
      <w:r>
        <w:t>Exams and schedules</w:t>
      </w:r>
    </w:p>
    <w:p>
      <w:pPr>
        <w:pStyle w:val="ListBullet"/>
      </w:pPr>
      <w:r>
        <w:t>Campus locations and building directions</w:t>
      </w:r>
    </w:p>
    <w:p>
      <w:pPr>
        <w:pStyle w:val="ListBullet"/>
      </w:pPr>
      <w:r>
        <w:t>Contacts and office communication details</w:t>
      </w:r>
    </w:p>
    <w:p>
      <w:pPr>
        <w:pStyle w:val="ListBullet"/>
      </w:pPr>
      <w:r>
        <w:t>Scholarships and financial aid</w:t>
      </w:r>
    </w:p>
    <w:p>
      <w:pPr>
        <w:pStyle w:val="ListBullet"/>
      </w:pPr>
      <w:r>
        <w:t>Student services such as health center, counseling, support office, library, and career helpdesk</w:t>
      </w:r>
    </w:p>
    <w:p>
      <w:pPr>
        <w:pStyle w:val="ListBullet"/>
      </w:pPr>
      <w:r>
        <w:t>Fallback handling for unclear or out-of-domain questions</w:t>
      </w:r>
    </w:p>
    <w:p>
      <w:r>
        <w:t>The project does not currently connect to a live university database, authentication system, or official student portal. The information is stored locally in JSON and model artifacts.</w:t>
      </w:r>
    </w:p>
    <w:p>
      <w:pPr>
        <w:pStyle w:val="Heading1"/>
      </w:pPr>
      <w:r>
        <w:t>3. System Architecture</w:t>
      </w:r>
    </w:p>
    <w:p>
      <w:r>
        <w:t>The system uses a hybrid architecture. A machine learning model predicts intent from preprocessed text, while rule-based logic corrects high-risk ambiguities, extracts entities, handles context, and selects verified responses. This design improves practical behavior over using the classifier alone.</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1F4E79"/>
          </w:tcPr>
          <w:p>
            <w:r/>
            <w:r>
              <w:rPr>
                <w:b/>
                <w:color w:val="FFFFFF"/>
              </w:rPr>
              <w:t>Component</w:t>
            </w:r>
          </w:p>
        </w:tc>
        <w:tc>
          <w:tcPr>
            <w:tcW w:type="dxa" w:w="3264"/>
            <w:vAlign w:val="center"/>
            <w:shd w:fill="1F4E79"/>
          </w:tcPr>
          <w:p>
            <w:r/>
            <w:r>
              <w:rPr>
                <w:b/>
                <w:color w:val="FFFFFF"/>
              </w:rPr>
              <w:t>File</w:t>
            </w:r>
          </w:p>
        </w:tc>
        <w:tc>
          <w:tcPr>
            <w:tcW w:type="dxa" w:w="3264"/>
            <w:vAlign w:val="center"/>
            <w:shd w:fill="1F4E79"/>
          </w:tcPr>
          <w:p>
            <w:r/>
            <w:r>
              <w:rPr>
                <w:b/>
                <w:color w:val="FFFFFF"/>
              </w:rPr>
              <w:t>Purpose</w:t>
            </w:r>
          </w:p>
        </w:tc>
      </w:tr>
      <w:tr>
        <w:tc>
          <w:tcPr>
            <w:tcW w:type="dxa" w:w="3264"/>
            <w:vAlign w:val="center"/>
          </w:tcPr>
          <w:p>
            <w:r/>
            <w:r>
              <w:rPr>
                <w:b w:val="0"/>
              </w:rPr>
              <w:t>Runtime engine</w:t>
            </w:r>
          </w:p>
        </w:tc>
        <w:tc>
          <w:tcPr>
            <w:tcW w:type="dxa" w:w="3264"/>
            <w:vAlign w:val="center"/>
          </w:tcPr>
          <w:p>
            <w:r/>
            <w:r>
              <w:rPr>
                <w:b w:val="0"/>
              </w:rPr>
              <w:t>app.py</w:t>
            </w:r>
          </w:p>
        </w:tc>
        <w:tc>
          <w:tcPr>
            <w:tcW w:type="dxa" w:w="3264"/>
            <w:vAlign w:val="center"/>
          </w:tcPr>
          <w:p>
            <w:r/>
            <w:r>
              <w:rPr>
                <w:b w:val="0"/>
              </w:rPr>
              <w:t>Coordinates preprocessing, OOD detection, NER, intent prediction, routing rules, response generation, context updates, and logging</w:t>
            </w:r>
          </w:p>
        </w:tc>
      </w:tr>
      <w:tr>
        <w:tc>
          <w:tcPr>
            <w:tcW w:type="dxa" w:w="3264"/>
            <w:vAlign w:val="center"/>
          </w:tcPr>
          <w:p>
            <w:r/>
            <w:r>
              <w:rPr>
                <w:b w:val="0"/>
              </w:rPr>
              <w:t>Preprocessing</w:t>
            </w:r>
          </w:p>
        </w:tc>
        <w:tc>
          <w:tcPr>
            <w:tcW w:type="dxa" w:w="3264"/>
            <w:vAlign w:val="center"/>
          </w:tcPr>
          <w:p>
            <w:r/>
            <w:r>
              <w:rPr>
                <w:b w:val="0"/>
              </w:rPr>
              <w:t>preprocess.py</w:t>
            </w:r>
          </w:p>
        </w:tc>
        <w:tc>
          <w:tcPr>
            <w:tcW w:type="dxa" w:w="3264"/>
            <w:vAlign w:val="center"/>
          </w:tcPr>
          <w:p>
            <w:r/>
            <w:r>
              <w:rPr>
                <w:b w:val="0"/>
              </w:rPr>
              <w:t>Normalizes text, corrects common typos, expands slang, tokenizes, removes stopwords, and lemmatizes when resources are available</w:t>
            </w:r>
          </w:p>
        </w:tc>
      </w:tr>
      <w:tr>
        <w:tc>
          <w:tcPr>
            <w:tcW w:type="dxa" w:w="3264"/>
            <w:vAlign w:val="center"/>
          </w:tcPr>
          <w:p>
            <w:r/>
            <w:r>
              <w:rPr>
                <w:b w:val="0"/>
              </w:rPr>
              <w:t>NER</w:t>
            </w:r>
          </w:p>
        </w:tc>
        <w:tc>
          <w:tcPr>
            <w:tcW w:type="dxa" w:w="3264"/>
            <w:vAlign w:val="center"/>
          </w:tcPr>
          <w:p>
            <w:r/>
            <w:r>
              <w:rPr>
                <w:b w:val="0"/>
              </w:rPr>
              <w:t>ner.py</w:t>
            </w:r>
          </w:p>
        </w:tc>
        <w:tc>
          <w:tcPr>
            <w:tcW w:type="dxa" w:w="3264"/>
            <w:vAlign w:val="center"/>
          </w:tcPr>
          <w:p>
            <w:r/>
            <w:r>
              <w:rPr>
                <w:b w:val="0"/>
              </w:rPr>
              <w:t>Detects departments, buildings, offices, services, dates, and campus locations using aliases and fuzzy matching</w:t>
            </w:r>
          </w:p>
        </w:tc>
      </w:tr>
      <w:tr>
        <w:tc>
          <w:tcPr>
            <w:tcW w:type="dxa" w:w="3264"/>
            <w:vAlign w:val="center"/>
          </w:tcPr>
          <w:p>
            <w:r/>
            <w:r>
              <w:rPr>
                <w:b w:val="0"/>
              </w:rPr>
              <w:t>Context manager</w:t>
            </w:r>
          </w:p>
        </w:tc>
        <w:tc>
          <w:tcPr>
            <w:tcW w:type="dxa" w:w="3264"/>
            <w:vAlign w:val="center"/>
          </w:tcPr>
          <w:p>
            <w:r/>
            <w:r>
              <w:rPr>
                <w:b w:val="0"/>
              </w:rPr>
              <w:t>context_manager.py</w:t>
            </w:r>
          </w:p>
        </w:tc>
        <w:tc>
          <w:tcPr>
            <w:tcW w:type="dxa" w:w="3264"/>
            <w:vAlign w:val="center"/>
          </w:tcPr>
          <w:p>
            <w:r/>
            <w:r>
              <w:rPr>
                <w:b w:val="0"/>
              </w:rPr>
              <w:t>Stores conversation state and resolves follow-up questions</w:t>
            </w:r>
          </w:p>
        </w:tc>
      </w:tr>
      <w:tr>
        <w:tc>
          <w:tcPr>
            <w:tcW w:type="dxa" w:w="3264"/>
            <w:vAlign w:val="center"/>
          </w:tcPr>
          <w:p>
            <w:r/>
            <w:r>
              <w:rPr>
                <w:b w:val="0"/>
              </w:rPr>
              <w:t>Response engine</w:t>
            </w:r>
          </w:p>
        </w:tc>
        <w:tc>
          <w:tcPr>
            <w:tcW w:type="dxa" w:w="3264"/>
            <w:vAlign w:val="center"/>
          </w:tcPr>
          <w:p>
            <w:r/>
            <w:r>
              <w:rPr>
                <w:b w:val="0"/>
              </w:rPr>
              <w:t>responses.py</w:t>
            </w:r>
          </w:p>
        </w:tc>
        <w:tc>
          <w:tcPr>
            <w:tcW w:type="dxa" w:w="3264"/>
            <w:vAlign w:val="center"/>
          </w:tcPr>
          <w:p>
            <w:r/>
            <w:r>
              <w:rPr>
                <w:b w:val="0"/>
              </w:rPr>
              <w:t>Generates dynamic responses from intents.json and knowledge_base.json</w:t>
            </w:r>
          </w:p>
        </w:tc>
      </w:tr>
      <w:tr>
        <w:tc>
          <w:tcPr>
            <w:tcW w:type="dxa" w:w="3264"/>
            <w:vAlign w:val="center"/>
          </w:tcPr>
          <w:p>
            <w:r/>
            <w:r>
              <w:rPr>
                <w:b w:val="0"/>
              </w:rPr>
              <w:t>Training pipeline</w:t>
            </w:r>
          </w:p>
        </w:tc>
        <w:tc>
          <w:tcPr>
            <w:tcW w:type="dxa" w:w="3264"/>
            <w:vAlign w:val="center"/>
          </w:tcPr>
          <w:p>
            <w:r/>
            <w:r>
              <w:rPr>
                <w:b w:val="0"/>
              </w:rPr>
              <w:t>train.py</w:t>
            </w:r>
          </w:p>
        </w:tc>
        <w:tc>
          <w:tcPr>
            <w:tcW w:type="dxa" w:w="3264"/>
            <w:vAlign w:val="center"/>
          </w:tcPr>
          <w:p>
            <w:r/>
            <w:r>
              <w:rPr>
                <w:b w:val="0"/>
              </w:rPr>
              <w:t>Builds TF-IDF features, trains calibrated logistic regression, evaluates, and saves artifacts</w:t>
            </w:r>
          </w:p>
        </w:tc>
      </w:tr>
      <w:tr>
        <w:tc>
          <w:tcPr>
            <w:tcW w:type="dxa" w:w="3264"/>
            <w:vAlign w:val="center"/>
          </w:tcPr>
          <w:p>
            <w:r/>
            <w:r>
              <w:rPr>
                <w:b w:val="0"/>
              </w:rPr>
              <w:t>Evaluation</w:t>
            </w:r>
          </w:p>
        </w:tc>
        <w:tc>
          <w:tcPr>
            <w:tcW w:type="dxa" w:w="3264"/>
            <w:vAlign w:val="center"/>
          </w:tcPr>
          <w:p>
            <w:r/>
            <w:r>
              <w:rPr>
                <w:b w:val="0"/>
              </w:rPr>
              <w:t>evaluate_real_world.py</w:t>
            </w:r>
          </w:p>
        </w:tc>
        <w:tc>
          <w:tcPr>
            <w:tcW w:type="dxa" w:w="3264"/>
            <w:vAlign w:val="center"/>
          </w:tcPr>
          <w:p>
            <w:r/>
            <w:r>
              <w:rPr>
                <w:b w:val="0"/>
              </w:rPr>
              <w:t>Runs classifier-only, end-to-end, and multi-turn context evaluations</w:t>
            </w:r>
          </w:p>
        </w:tc>
      </w:tr>
      <w:tr>
        <w:tc>
          <w:tcPr>
            <w:tcW w:type="dxa" w:w="3264"/>
            <w:vAlign w:val="center"/>
          </w:tcPr>
          <w:p>
            <w:r/>
            <w:r>
              <w:rPr>
                <w:b w:val="0"/>
              </w:rPr>
              <w:t>Functional audit</w:t>
            </w:r>
          </w:p>
        </w:tc>
        <w:tc>
          <w:tcPr>
            <w:tcW w:type="dxa" w:w="3264"/>
            <w:vAlign w:val="center"/>
          </w:tcPr>
          <w:p>
            <w:r/>
            <w:r>
              <w:rPr>
                <w:b w:val="0"/>
              </w:rPr>
              <w:t>run_audit_tests.py</w:t>
            </w:r>
          </w:p>
        </w:tc>
        <w:tc>
          <w:tcPr>
            <w:tcW w:type="dxa" w:w="3264"/>
            <w:vAlign w:val="center"/>
          </w:tcPr>
          <w:p>
            <w:r/>
            <w:r>
              <w:rPr>
                <w:b w:val="0"/>
              </w:rPr>
              <w:t>Runs scripted intent, OOD, typo, slang, and context checks</w:t>
            </w:r>
          </w:p>
        </w:tc>
      </w:tr>
      <w:tr>
        <w:tc>
          <w:tcPr>
            <w:tcW w:type="dxa" w:w="3264"/>
            <w:vAlign w:val="center"/>
          </w:tcPr>
          <w:p>
            <w:r/>
            <w:r>
              <w:rPr>
                <w:b w:val="0"/>
              </w:rPr>
              <w:t>GUI</w:t>
            </w:r>
          </w:p>
        </w:tc>
        <w:tc>
          <w:tcPr>
            <w:tcW w:type="dxa" w:w="3264"/>
            <w:vAlign w:val="center"/>
          </w:tcPr>
          <w:p>
            <w:r/>
            <w:r>
              <w:rPr>
                <w:b w:val="0"/>
              </w:rPr>
              <w:t>gui.py</w:t>
            </w:r>
          </w:p>
        </w:tc>
        <w:tc>
          <w:tcPr>
            <w:tcW w:type="dxa" w:w="3264"/>
            <w:vAlign w:val="center"/>
          </w:tcPr>
          <w:p>
            <w:r/>
            <w:r>
              <w:rPr>
                <w:b w:val="0"/>
              </w:rPr>
              <w:t>Provides a Tkinter desktop interface for users</w:t>
            </w:r>
          </w:p>
        </w:tc>
      </w:tr>
      <w:tr>
        <w:tc>
          <w:tcPr>
            <w:tcW w:type="dxa" w:w="3264"/>
            <w:vAlign w:val="center"/>
          </w:tcPr>
          <w:p>
            <w:r/>
            <w:r>
              <w:rPr>
                <w:b w:val="0"/>
              </w:rPr>
              <w:t>Configuration</w:t>
            </w:r>
          </w:p>
        </w:tc>
        <w:tc>
          <w:tcPr>
            <w:tcW w:type="dxa" w:w="3264"/>
            <w:vAlign w:val="center"/>
          </w:tcPr>
          <w:p>
            <w:r/>
            <w:r>
              <w:rPr>
                <w:b w:val="0"/>
              </w:rPr>
              <w:t>config.py</w:t>
            </w:r>
          </w:p>
        </w:tc>
        <w:tc>
          <w:tcPr>
            <w:tcW w:type="dxa" w:w="3264"/>
            <w:vAlign w:val="center"/>
          </w:tcPr>
          <w:p>
            <w:r/>
            <w:r>
              <w:rPr>
                <w:b w:val="0"/>
              </w:rPr>
              <w:t>Stores paths, thresholds, allowed intents, OOD keywords, and debug settings</w:t>
            </w:r>
          </w:p>
        </w:tc>
      </w:tr>
    </w:tbl>
    <w:p/>
    <w:p>
      <w:pPr>
        <w:pStyle w:val="Heading1"/>
      </w:pPr>
      <w:r>
        <w:t>4. Methodology</w:t>
      </w:r>
    </w:p>
    <w:p>
      <w:pPr>
        <w:pStyle w:val="Heading2"/>
      </w:pPr>
      <w:r>
        <w:t>4.1 Data Sources</w:t>
      </w:r>
    </w:p>
    <w:p>
      <w:r>
        <w:t>The active training source is intents.json. The latest training report shows 5,153 raw patterns, 5,140 unique trained patterns, and 14 whitelisted intents. Additional human-style evaluation data is stored in dataset/human_test_data.csv.</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1F4E79"/>
          </w:tcPr>
          <w:p>
            <w:r/>
            <w:r>
              <w:rPr>
                <w:b/>
                <w:color w:val="FFFFFF"/>
              </w:rPr>
              <w:t>Intent</w:t>
            </w:r>
          </w:p>
        </w:tc>
        <w:tc>
          <w:tcPr>
            <w:tcW w:type="dxa" w:w="4896"/>
            <w:vAlign w:val="center"/>
            <w:shd w:fill="1F4E79"/>
          </w:tcPr>
          <w:p>
            <w:r/>
            <w:r>
              <w:rPr>
                <w:b/>
                <w:color w:val="FFFFFF"/>
              </w:rPr>
              <w:t>Training Patterns</w:t>
            </w:r>
          </w:p>
        </w:tc>
      </w:tr>
      <w:tr>
        <w:tc>
          <w:tcPr>
            <w:tcW w:type="dxa" w:w="4896"/>
            <w:vAlign w:val="center"/>
          </w:tcPr>
          <w:p>
            <w:r/>
            <w:r>
              <w:rPr>
                <w:b w:val="0"/>
              </w:rPr>
              <w:t>contacts</w:t>
            </w:r>
          </w:p>
        </w:tc>
        <w:tc>
          <w:tcPr>
            <w:tcW w:type="dxa" w:w="4896"/>
            <w:vAlign w:val="center"/>
          </w:tcPr>
          <w:p>
            <w:r/>
            <w:r>
              <w:rPr>
                <w:b w:val="0"/>
              </w:rPr>
              <w:t>465</w:t>
            </w:r>
          </w:p>
        </w:tc>
      </w:tr>
      <w:tr>
        <w:tc>
          <w:tcPr>
            <w:tcW w:type="dxa" w:w="4896"/>
            <w:vAlign w:val="center"/>
          </w:tcPr>
          <w:p>
            <w:r/>
            <w:r>
              <w:rPr>
                <w:b w:val="0"/>
              </w:rPr>
              <w:t>courses</w:t>
            </w:r>
          </w:p>
        </w:tc>
        <w:tc>
          <w:tcPr>
            <w:tcW w:type="dxa" w:w="4896"/>
            <w:vAlign w:val="center"/>
          </w:tcPr>
          <w:p>
            <w:r/>
            <w:r>
              <w:rPr>
                <w:b w:val="0"/>
              </w:rPr>
              <w:t>465</w:t>
            </w:r>
          </w:p>
        </w:tc>
      </w:tr>
      <w:tr>
        <w:tc>
          <w:tcPr>
            <w:tcW w:type="dxa" w:w="4896"/>
            <w:vAlign w:val="center"/>
          </w:tcPr>
          <w:p>
            <w:r/>
            <w:r>
              <w:rPr>
                <w:b w:val="0"/>
              </w:rPr>
              <w:t>exam</w:t>
            </w:r>
          </w:p>
        </w:tc>
        <w:tc>
          <w:tcPr>
            <w:tcW w:type="dxa" w:w="4896"/>
            <w:vAlign w:val="center"/>
          </w:tcPr>
          <w:p>
            <w:r/>
            <w:r>
              <w:rPr>
                <w:b w:val="0"/>
              </w:rPr>
              <w:t>467</w:t>
            </w:r>
          </w:p>
        </w:tc>
      </w:tr>
      <w:tr>
        <w:tc>
          <w:tcPr>
            <w:tcW w:type="dxa" w:w="4896"/>
            <w:vAlign w:val="center"/>
          </w:tcPr>
          <w:p>
            <w:r/>
            <w:r>
              <w:rPr>
                <w:b w:val="0"/>
              </w:rPr>
              <w:t>fallback</w:t>
            </w:r>
          </w:p>
        </w:tc>
        <w:tc>
          <w:tcPr>
            <w:tcW w:type="dxa" w:w="4896"/>
            <w:vAlign w:val="center"/>
          </w:tcPr>
          <w:p>
            <w:r/>
            <w:r>
              <w:rPr>
                <w:b w:val="0"/>
              </w:rPr>
              <w:t>15</w:t>
            </w:r>
          </w:p>
        </w:tc>
      </w:tr>
      <w:tr>
        <w:tc>
          <w:tcPr>
            <w:tcW w:type="dxa" w:w="4896"/>
            <w:vAlign w:val="center"/>
          </w:tcPr>
          <w:p>
            <w:r/>
            <w:r>
              <w:rPr>
                <w:b w:val="0"/>
              </w:rPr>
              <w:t>fees</w:t>
            </w:r>
          </w:p>
        </w:tc>
        <w:tc>
          <w:tcPr>
            <w:tcW w:type="dxa" w:w="4896"/>
            <w:vAlign w:val="center"/>
          </w:tcPr>
          <w:p>
            <w:r/>
            <w:r>
              <w:rPr>
                <w:b w:val="0"/>
              </w:rPr>
              <w:t>465</w:t>
            </w:r>
          </w:p>
        </w:tc>
      </w:tr>
      <w:tr>
        <w:tc>
          <w:tcPr>
            <w:tcW w:type="dxa" w:w="4896"/>
            <w:vAlign w:val="center"/>
          </w:tcPr>
          <w:p>
            <w:r/>
            <w:r>
              <w:rPr>
                <w:b w:val="0"/>
              </w:rPr>
              <w:t>goodbye</w:t>
            </w:r>
          </w:p>
        </w:tc>
        <w:tc>
          <w:tcPr>
            <w:tcW w:type="dxa" w:w="4896"/>
            <w:vAlign w:val="center"/>
          </w:tcPr>
          <w:p>
            <w:r/>
            <w:r>
              <w:rPr>
                <w:b w:val="0"/>
              </w:rPr>
              <w:t>415</w:t>
            </w:r>
          </w:p>
        </w:tc>
      </w:tr>
      <w:tr>
        <w:tc>
          <w:tcPr>
            <w:tcW w:type="dxa" w:w="4896"/>
            <w:vAlign w:val="center"/>
          </w:tcPr>
          <w:p>
            <w:r/>
            <w:r>
              <w:rPr>
                <w:b w:val="0"/>
              </w:rPr>
              <w:t>greeting</w:t>
            </w:r>
          </w:p>
        </w:tc>
        <w:tc>
          <w:tcPr>
            <w:tcW w:type="dxa" w:w="4896"/>
            <w:vAlign w:val="center"/>
          </w:tcPr>
          <w:p>
            <w:r/>
            <w:r>
              <w:rPr>
                <w:b w:val="0"/>
              </w:rPr>
              <w:t>419</w:t>
            </w:r>
          </w:p>
        </w:tc>
      </w:tr>
      <w:tr>
        <w:tc>
          <w:tcPr>
            <w:tcW w:type="dxa" w:w="4896"/>
            <w:vAlign w:val="center"/>
          </w:tcPr>
          <w:p>
            <w:r/>
            <w:r>
              <w:rPr>
                <w:b w:val="0"/>
              </w:rPr>
              <w:t>help</w:t>
            </w:r>
          </w:p>
        </w:tc>
        <w:tc>
          <w:tcPr>
            <w:tcW w:type="dxa" w:w="4896"/>
            <w:vAlign w:val="center"/>
          </w:tcPr>
          <w:p>
            <w:r/>
            <w:r>
              <w:rPr>
                <w:b w:val="0"/>
              </w:rPr>
              <w:t>44</w:t>
            </w:r>
          </w:p>
        </w:tc>
      </w:tr>
      <w:tr>
        <w:tc>
          <w:tcPr>
            <w:tcW w:type="dxa" w:w="4896"/>
            <w:vAlign w:val="center"/>
          </w:tcPr>
          <w:p>
            <w:r/>
            <w:r>
              <w:rPr>
                <w:b w:val="0"/>
              </w:rPr>
              <w:t>location</w:t>
            </w:r>
          </w:p>
        </w:tc>
        <w:tc>
          <w:tcPr>
            <w:tcW w:type="dxa" w:w="4896"/>
            <w:vAlign w:val="center"/>
          </w:tcPr>
          <w:p>
            <w:r/>
            <w:r>
              <w:rPr>
                <w:b w:val="0"/>
              </w:rPr>
              <w:t>466</w:t>
            </w:r>
          </w:p>
        </w:tc>
      </w:tr>
      <w:tr>
        <w:tc>
          <w:tcPr>
            <w:tcW w:type="dxa" w:w="4896"/>
            <w:vAlign w:val="center"/>
          </w:tcPr>
          <w:p>
            <w:r/>
            <w:r>
              <w:rPr>
                <w:b w:val="0"/>
              </w:rPr>
              <w:t>registration</w:t>
            </w:r>
          </w:p>
        </w:tc>
        <w:tc>
          <w:tcPr>
            <w:tcW w:type="dxa" w:w="4896"/>
            <w:vAlign w:val="center"/>
          </w:tcPr>
          <w:p>
            <w:r/>
            <w:r>
              <w:rPr>
                <w:b w:val="0"/>
              </w:rPr>
              <w:t>475</w:t>
            </w:r>
          </w:p>
        </w:tc>
      </w:tr>
      <w:tr>
        <w:tc>
          <w:tcPr>
            <w:tcW w:type="dxa" w:w="4896"/>
            <w:vAlign w:val="center"/>
          </w:tcPr>
          <w:p>
            <w:r/>
            <w:r>
              <w:rPr>
                <w:b w:val="0"/>
              </w:rPr>
              <w:t>schedule</w:t>
            </w:r>
          </w:p>
        </w:tc>
        <w:tc>
          <w:tcPr>
            <w:tcW w:type="dxa" w:w="4896"/>
            <w:vAlign w:val="center"/>
          </w:tcPr>
          <w:p>
            <w:r/>
            <w:r>
              <w:rPr>
                <w:b w:val="0"/>
              </w:rPr>
              <w:t>493</w:t>
            </w:r>
          </w:p>
        </w:tc>
      </w:tr>
      <w:tr>
        <w:tc>
          <w:tcPr>
            <w:tcW w:type="dxa" w:w="4896"/>
            <w:vAlign w:val="center"/>
          </w:tcPr>
          <w:p>
            <w:r/>
            <w:r>
              <w:rPr>
                <w:b w:val="0"/>
              </w:rPr>
              <w:t>scholarship</w:t>
            </w:r>
          </w:p>
        </w:tc>
        <w:tc>
          <w:tcPr>
            <w:tcW w:type="dxa" w:w="4896"/>
            <w:vAlign w:val="center"/>
          </w:tcPr>
          <w:p>
            <w:r/>
            <w:r>
              <w:rPr>
                <w:b w:val="0"/>
              </w:rPr>
              <w:t>464</w:t>
            </w:r>
          </w:p>
        </w:tc>
      </w:tr>
      <w:tr>
        <w:tc>
          <w:tcPr>
            <w:tcW w:type="dxa" w:w="4896"/>
            <w:vAlign w:val="center"/>
          </w:tcPr>
          <w:p>
            <w:r/>
            <w:r>
              <w:rPr>
                <w:b w:val="0"/>
              </w:rPr>
              <w:t>student_services</w:t>
            </w:r>
          </w:p>
        </w:tc>
        <w:tc>
          <w:tcPr>
            <w:tcW w:type="dxa" w:w="4896"/>
            <w:vAlign w:val="center"/>
          </w:tcPr>
          <w:p>
            <w:r/>
            <w:r>
              <w:rPr>
                <w:b w:val="0"/>
              </w:rPr>
              <w:t>74</w:t>
            </w:r>
          </w:p>
        </w:tc>
      </w:tr>
      <w:tr>
        <w:tc>
          <w:tcPr>
            <w:tcW w:type="dxa" w:w="4896"/>
            <w:vAlign w:val="center"/>
          </w:tcPr>
          <w:p>
            <w:r/>
            <w:r>
              <w:rPr>
                <w:b w:val="0"/>
              </w:rPr>
              <w:t>thanks</w:t>
            </w:r>
          </w:p>
        </w:tc>
        <w:tc>
          <w:tcPr>
            <w:tcW w:type="dxa" w:w="4896"/>
            <w:vAlign w:val="center"/>
          </w:tcPr>
          <w:p>
            <w:r/>
            <w:r>
              <w:rPr>
                <w:b w:val="0"/>
              </w:rPr>
              <w:t>413</w:t>
            </w:r>
          </w:p>
        </w:tc>
      </w:tr>
    </w:tbl>
    <w:p/>
    <w:p>
      <w:pPr>
        <w:pStyle w:val="Heading2"/>
      </w:pPr>
      <w:r>
        <w:t>4.2 Text Preprocessing</w:t>
      </w:r>
    </w:p>
    <w:p>
      <w:pPr>
        <w:pStyle w:val="ListBullet"/>
      </w:pPr>
      <w:r>
        <w:t>Lowercase normalization and punctuation cleanup</w:t>
      </w:r>
    </w:p>
    <w:p>
      <w:pPr>
        <w:pStyle w:val="ListBullet"/>
      </w:pPr>
      <w:r>
        <w:t>Repeated-letter normalization</w:t>
      </w:r>
    </w:p>
    <w:p>
      <w:pPr>
        <w:pStyle w:val="ListBullet"/>
      </w:pPr>
      <w:r>
        <w:t>Common typo correction such as regstration to registration and libary to library</w:t>
      </w:r>
    </w:p>
    <w:p>
      <w:pPr>
        <w:pStyle w:val="ListBullet"/>
      </w:pPr>
      <w:r>
        <w:t>Slang normalization such as u to you and pls to please</w:t>
      </w:r>
    </w:p>
    <w:p>
      <w:pPr>
        <w:pStyle w:val="ListBullet"/>
      </w:pPr>
      <w:r>
        <w:t>Stopword removal while preserving important question and education words</w:t>
      </w:r>
    </w:p>
    <w:p>
      <w:pPr>
        <w:pStyle w:val="ListBullet"/>
      </w:pPr>
      <w:r>
        <w:t>WordNet lemmatization when local NLTK resources are available, with graceful fallback otherwise</w:t>
      </w:r>
    </w:p>
    <w:p>
      <w:pPr>
        <w:pStyle w:val="Heading2"/>
      </w:pPr>
      <w:r>
        <w:t>4.3 Intent Classification</w:t>
      </w:r>
    </w:p>
    <w:p>
      <w:r>
        <w:t>The classifier uses a hybrid TF-IDF feature representation combining word-level unigrams and bigrams with character-level 3-5 n-grams. A balanced Logistic Regression classifier is wrapped in CalibratedClassifierCV with sigmoid probability calibration. The trained artifacts are saved in the model directory.</w:t>
      </w:r>
    </w:p>
    <w:p>
      <w:r>
        <w:t>The training pipeline now follows the correct no-leakage order: data is split before vectorizer fitting, the vectorizer is fitted only on training text, and test text is transformed separately.</w:t>
      </w:r>
    </w:p>
    <w:p>
      <w:pPr>
        <w:pStyle w:val="Heading2"/>
      </w:pPr>
      <w:r>
        <w:t>4.4 Rule-Based Routing and NER</w:t>
      </w:r>
    </w:p>
    <w:p>
      <w:r>
        <w:t>Rule-based routing improves the practical chatbot behavior by resolving known ambiguities. For example, communication queries involving phone, email, number, telegram, or link are routed to contacts; student support office and health center are routed to student_services; payment and fee questions are routed to fees unless they refer to registration penalties; and location entities such as stadium, faculty building, toilet, restroom, and washroom are handled as location queries.</w:t>
      </w:r>
    </w:p>
    <w:p>
      <w:pPr>
        <w:pStyle w:val="Heading1"/>
      </w:pPr>
      <w:r>
        <w:t>5. Implementation Details</w:t>
      </w:r>
    </w:p>
    <w:p>
      <w:pPr>
        <w:pStyle w:val="Heading2"/>
      </w:pPr>
      <w:r>
        <w:t>5.1 Chatbot Runtime Flow</w:t>
      </w:r>
    </w:p>
    <w:p>
      <w:pPr>
        <w:pStyle w:val="ListNumber"/>
      </w:pPr>
      <w:r>
        <w:t>Receive raw user input from CLI or GUI.</w:t>
      </w:r>
    </w:p>
    <w:p>
      <w:pPr>
        <w:pStyle w:val="ListNumber"/>
      </w:pPr>
      <w:r>
        <w:t>Reject empty input safely.</w:t>
      </w:r>
    </w:p>
    <w:p>
      <w:pPr>
        <w:pStyle w:val="ListNumber"/>
      </w:pPr>
      <w:r>
        <w:t>Detect out-of-domain keywords and route to fallback if needed.</w:t>
      </w:r>
    </w:p>
    <w:p>
      <w:pPr>
        <w:pStyle w:val="ListNumber"/>
      </w:pPr>
      <w:r>
        <w:t>Extract university-specific entities using the NER module.</w:t>
      </w:r>
    </w:p>
    <w:p>
      <w:pPr>
        <w:pStyle w:val="ListNumber"/>
      </w:pPr>
      <w:r>
        <w:t>Apply high-priority rule-based routing for greetings, thanks, goodbye, contacts, services, fees, registration, scholarships, locations, schedules, and help.</w:t>
      </w:r>
    </w:p>
    <w:p>
      <w:pPr>
        <w:pStyle w:val="ListNumber"/>
      </w:pPr>
      <w:r>
        <w:t>Use context manager if the query is a follow-up question.</w:t>
      </w:r>
    </w:p>
    <w:p>
      <w:pPr>
        <w:pStyle w:val="ListNumber"/>
      </w:pPr>
      <w:r>
        <w:t>Run ML prediction if no rule or context has resolved the intent.</w:t>
      </w:r>
    </w:p>
    <w:p>
      <w:pPr>
        <w:pStyle w:val="ListNumber"/>
      </w:pPr>
      <w:r>
        <w:t>Apply confidence thresholds and fallback logic.</w:t>
      </w:r>
    </w:p>
    <w:p>
      <w:pPr>
        <w:pStyle w:val="ListNumber"/>
      </w:pPr>
      <w:r>
        <w:t>Generate a response using the response engine and knowledge base.</w:t>
      </w:r>
    </w:p>
    <w:p>
      <w:pPr>
        <w:pStyle w:val="ListNumber"/>
      </w:pPr>
      <w:r>
        <w:t>Update conversation memory and log the interaction.</w:t>
      </w:r>
    </w:p>
    <w:p>
      <w:pPr>
        <w:pStyle w:val="Heading2"/>
      </w:pPr>
      <w:r>
        <w:t>5.2 Knowledge Base</w:t>
      </w:r>
    </w:p>
    <w:p>
      <w:r>
        <w:t>knowledge_base.json stores structured facts about departments, offices, fees, exam schedules, academic calendars, scholarships, student services, registration details, and schedule details. Entity-aware responses are generated from this file to reduce hallucinated or inconsistent answers.</w:t>
      </w:r>
    </w:p>
    <w:p>
      <w:pPr>
        <w:pStyle w:val="Heading2"/>
      </w:pPr>
      <w:r>
        <w:t>5.3 GUI</w:t>
      </w:r>
    </w:p>
    <w:p>
      <w:r>
        <w:t>The Tkinter GUI provides a desktop chat interface with message history, user and assistant messages, quick-action support, status feedback, debug mode, chat clearing, and export functionality. It delegates all chatbot intelligence to ChatbotEngine, keeping UI and backend concerns separated.</w:t>
      </w:r>
    </w:p>
    <w:p>
      <w:pPr>
        <w:pStyle w:val="Heading1"/>
      </w:pPr>
      <w:r>
        <w:t>6. Evaluation Results</w:t>
      </w:r>
    </w:p>
    <w:p>
      <w:r>
        <w:t>The latest project checks were run on May 22, 2026.</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1F4E79"/>
          </w:tcPr>
          <w:p>
            <w:r/>
            <w:r>
              <w:rPr>
                <w:b/>
                <w:color w:val="FFFFFF"/>
              </w:rPr>
              <w:t>Evaluation Mode</w:t>
            </w:r>
          </w:p>
        </w:tc>
        <w:tc>
          <w:tcPr>
            <w:tcW w:type="dxa" w:w="4896"/>
            <w:vAlign w:val="center"/>
            <w:shd w:fill="1F4E79"/>
          </w:tcPr>
          <w:p>
            <w:r/>
            <w:r>
              <w:rPr>
                <w:b/>
                <w:color w:val="FFFFFF"/>
              </w:rPr>
              <w:t>Result</w:t>
            </w:r>
          </w:p>
        </w:tc>
      </w:tr>
      <w:tr>
        <w:tc>
          <w:tcPr>
            <w:tcW w:type="dxa" w:w="4896"/>
            <w:vAlign w:val="center"/>
          </w:tcPr>
          <w:p>
            <w:r/>
            <w:r>
              <w:rPr>
                <w:b w:val="0"/>
              </w:rPr>
              <w:t>Training test accuracy</w:t>
            </w:r>
          </w:p>
        </w:tc>
        <w:tc>
          <w:tcPr>
            <w:tcW w:type="dxa" w:w="4896"/>
            <w:vAlign w:val="center"/>
          </w:tcPr>
          <w:p>
            <w:r/>
            <w:r>
              <w:rPr>
                <w:b w:val="0"/>
              </w:rPr>
              <w:t>95.53%</w:t>
            </w:r>
          </w:p>
        </w:tc>
      </w:tr>
      <w:tr>
        <w:tc>
          <w:tcPr>
            <w:tcW w:type="dxa" w:w="4896"/>
            <w:vAlign w:val="center"/>
          </w:tcPr>
          <w:p>
            <w:r/>
            <w:r>
              <w:rPr>
                <w:b w:val="0"/>
              </w:rPr>
              <w:t>Training macro F1-score</w:t>
            </w:r>
          </w:p>
        </w:tc>
        <w:tc>
          <w:tcPr>
            <w:tcW w:type="dxa" w:w="4896"/>
            <w:vAlign w:val="center"/>
          </w:tcPr>
          <w:p>
            <w:r/>
            <w:r>
              <w:rPr>
                <w:b w:val="0"/>
              </w:rPr>
              <w:t>0.8412</w:t>
            </w:r>
          </w:p>
        </w:tc>
      </w:tr>
      <w:tr>
        <w:tc>
          <w:tcPr>
            <w:tcW w:type="dxa" w:w="4896"/>
            <w:vAlign w:val="center"/>
          </w:tcPr>
          <w:p>
            <w:r/>
            <w:r>
              <w:rPr>
                <w:b w:val="0"/>
              </w:rPr>
              <w:t>Classifier-only real-world accuracy</w:t>
            </w:r>
          </w:p>
        </w:tc>
        <w:tc>
          <w:tcPr>
            <w:tcW w:type="dxa" w:w="4896"/>
            <w:vAlign w:val="center"/>
          </w:tcPr>
          <w:p>
            <w:r/>
            <w:r>
              <w:rPr>
                <w:b w:val="0"/>
              </w:rPr>
              <w:t>91.53%</w:t>
            </w:r>
          </w:p>
        </w:tc>
      </w:tr>
      <w:tr>
        <w:tc>
          <w:tcPr>
            <w:tcW w:type="dxa" w:w="4896"/>
            <w:vAlign w:val="center"/>
          </w:tcPr>
          <w:p>
            <w:r/>
            <w:r>
              <w:rPr>
                <w:b w:val="0"/>
              </w:rPr>
              <w:t>Classifier-only balanced accuracy</w:t>
            </w:r>
          </w:p>
        </w:tc>
        <w:tc>
          <w:tcPr>
            <w:tcW w:type="dxa" w:w="4896"/>
            <w:vAlign w:val="center"/>
          </w:tcPr>
          <w:p>
            <w:r/>
            <w:r>
              <w:rPr>
                <w:b w:val="0"/>
              </w:rPr>
              <w:t>90.10%</w:t>
            </w:r>
          </w:p>
        </w:tc>
      </w:tr>
      <w:tr>
        <w:tc>
          <w:tcPr>
            <w:tcW w:type="dxa" w:w="4896"/>
            <w:vAlign w:val="center"/>
          </w:tcPr>
          <w:p>
            <w:r/>
            <w:r>
              <w:rPr>
                <w:b w:val="0"/>
              </w:rPr>
              <w:t>Classifier-only OOD rejection</w:t>
            </w:r>
          </w:p>
        </w:tc>
        <w:tc>
          <w:tcPr>
            <w:tcW w:type="dxa" w:w="4896"/>
            <w:vAlign w:val="center"/>
          </w:tcPr>
          <w:p>
            <w:r/>
            <w:r>
              <w:rPr>
                <w:b w:val="0"/>
              </w:rPr>
              <w:t>9/12</w:t>
            </w:r>
          </w:p>
        </w:tc>
      </w:tr>
      <w:tr>
        <w:tc>
          <w:tcPr>
            <w:tcW w:type="dxa" w:w="4896"/>
            <w:vAlign w:val="center"/>
          </w:tcPr>
          <w:p>
            <w:r/>
            <w:r>
              <w:rPr>
                <w:b w:val="0"/>
              </w:rPr>
              <w:t>End-to-end in-domain accuracy</w:t>
            </w:r>
          </w:p>
        </w:tc>
        <w:tc>
          <w:tcPr>
            <w:tcW w:type="dxa" w:w="4896"/>
            <w:vAlign w:val="center"/>
          </w:tcPr>
          <w:p>
            <w:r/>
            <w:r>
              <w:rPr>
                <w:b w:val="0"/>
              </w:rPr>
              <w:t>100.00%</w:t>
            </w:r>
          </w:p>
        </w:tc>
      </w:tr>
      <w:tr>
        <w:tc>
          <w:tcPr>
            <w:tcW w:type="dxa" w:w="4896"/>
            <w:vAlign w:val="center"/>
          </w:tcPr>
          <w:p>
            <w:r/>
            <w:r>
              <w:rPr>
                <w:b w:val="0"/>
              </w:rPr>
              <w:t>End-to-end balanced accuracy</w:t>
            </w:r>
          </w:p>
        </w:tc>
        <w:tc>
          <w:tcPr>
            <w:tcW w:type="dxa" w:w="4896"/>
            <w:vAlign w:val="center"/>
          </w:tcPr>
          <w:p>
            <w:r/>
            <w:r>
              <w:rPr>
                <w:b w:val="0"/>
              </w:rPr>
              <w:t>100.00%</w:t>
            </w:r>
          </w:p>
        </w:tc>
      </w:tr>
      <w:tr>
        <w:tc>
          <w:tcPr>
            <w:tcW w:type="dxa" w:w="4896"/>
            <w:vAlign w:val="center"/>
          </w:tcPr>
          <w:p>
            <w:r/>
            <w:r>
              <w:rPr>
                <w:b w:val="0"/>
              </w:rPr>
              <w:t>End-to-end OOD rejection</w:t>
            </w:r>
          </w:p>
        </w:tc>
        <w:tc>
          <w:tcPr>
            <w:tcW w:type="dxa" w:w="4896"/>
            <w:vAlign w:val="center"/>
          </w:tcPr>
          <w:p>
            <w:r/>
            <w:r>
              <w:rPr>
                <w:b w:val="0"/>
              </w:rPr>
              <w:t>12/12</w:t>
            </w:r>
          </w:p>
        </w:tc>
      </w:tr>
      <w:tr>
        <w:tc>
          <w:tcPr>
            <w:tcW w:type="dxa" w:w="4896"/>
            <w:vAlign w:val="center"/>
          </w:tcPr>
          <w:p>
            <w:r/>
            <w:r>
              <w:rPr>
                <w:b w:val="0"/>
              </w:rPr>
              <w:t>End-to-end failure count</w:t>
            </w:r>
          </w:p>
        </w:tc>
        <w:tc>
          <w:tcPr>
            <w:tcW w:type="dxa" w:w="4896"/>
            <w:vAlign w:val="center"/>
          </w:tcPr>
          <w:p>
            <w:r/>
            <w:r>
              <w:rPr>
                <w:b w:val="0"/>
              </w:rPr>
              <w:t>0</w:t>
            </w:r>
          </w:p>
        </w:tc>
      </w:tr>
      <w:tr>
        <w:tc>
          <w:tcPr>
            <w:tcW w:type="dxa" w:w="4896"/>
            <w:vAlign w:val="center"/>
          </w:tcPr>
          <w:p>
            <w:r/>
            <w:r>
              <w:rPr>
                <w:b w:val="0"/>
              </w:rPr>
              <w:t>Functional audit</w:t>
            </w:r>
          </w:p>
        </w:tc>
        <w:tc>
          <w:tcPr>
            <w:tcW w:type="dxa" w:w="4896"/>
            <w:vAlign w:val="center"/>
          </w:tcPr>
          <w:p>
            <w:r/>
            <w:r>
              <w:rPr>
                <w:b w:val="0"/>
              </w:rPr>
              <w:t>60/60 passed</w:t>
            </w:r>
          </w:p>
        </w:tc>
      </w:tr>
      <w:tr>
        <w:tc>
          <w:tcPr>
            <w:tcW w:type="dxa" w:w="4896"/>
            <w:vAlign w:val="center"/>
          </w:tcPr>
          <w:p>
            <w:r/>
            <w:r>
              <w:rPr>
                <w:b w:val="0"/>
              </w:rPr>
              <w:t>Multi-turn context evaluation</w:t>
            </w:r>
          </w:p>
        </w:tc>
        <w:tc>
          <w:tcPr>
            <w:tcW w:type="dxa" w:w="4896"/>
            <w:vAlign w:val="center"/>
          </w:tcPr>
          <w:p>
            <w:r/>
            <w:r>
              <w:rPr>
                <w:b w:val="0"/>
              </w:rPr>
              <w:t>4/4 passed</w:t>
            </w:r>
          </w:p>
        </w:tc>
      </w:tr>
    </w:tbl>
    <w:p/>
    <w:p>
      <w:pPr>
        <w:pStyle w:val="Heading2"/>
      </w:pPr>
      <w:r>
        <w:t>6.1 Interpretation</w:t>
      </w:r>
    </w:p>
    <w:p>
      <w:r>
        <w:t>The classifier-only result measures the raw ML model plus confidence thresholds. It is strong but not perfect, especially for help, fallback, student_services, and a few short ambiguous queries. The end-to-end result measures the real chatbot pipeline, including NER, rules, context, and fallback. This is the most relevant score for user-facing behavior and currently passes the prepared evaluation set without errors.</w:t>
      </w:r>
    </w:p>
    <w:p>
      <w:r>
        <w:t>The perfect end-to-end result should be interpreted carefully. It proves that the current prepared test set is handled correctly, but it does not guarantee perfect performance on unseen real student questions. A fresh human_test_data_v2.csv should be created for stronger validation.</w:t>
      </w:r>
    </w:p>
    <w:p>
      <w:pPr>
        <w:pStyle w:val="Heading1"/>
      </w:pPr>
      <w:r>
        <w:t>7. Limitations</w:t>
      </w:r>
    </w:p>
    <w:p>
      <w:pPr>
        <w:pStyle w:val="ListBullet"/>
      </w:pPr>
      <w:r>
        <w:t>The current 100% end-to-end score is on the prepared test set and may be optimistic.</w:t>
      </w:r>
    </w:p>
    <w:p>
      <w:pPr>
        <w:pStyle w:val="ListBullet"/>
      </w:pPr>
      <w:r>
        <w:t>The dataset is imbalanced: help, fallback, and student_services have fewer examples than larger intents.</w:t>
      </w:r>
    </w:p>
    <w:p>
      <w:pPr>
        <w:pStyle w:val="ListBullet"/>
      </w:pPr>
      <w:r>
        <w:t>The chatbot uses local JSON knowledge rather than live university systems.</w:t>
      </w:r>
    </w:p>
    <w:p>
      <w:pPr>
        <w:pStyle w:val="ListBullet"/>
      </w:pPr>
      <w:r>
        <w:t>Some rule-based behavior is tuned to known test cases and should be validated with unseen queries.</w:t>
      </w:r>
    </w:p>
    <w:p>
      <w:pPr>
        <w:pStyle w:val="ListBullet"/>
      </w:pPr>
      <w:r>
        <w:t>Response quality evaluation currently focuses on intent correctness, not detailed answer completeness.</w:t>
      </w:r>
    </w:p>
    <w:p>
      <w:pPr>
        <w:pStyle w:val="ListBullet"/>
      </w:pPr>
      <w:r>
        <w:t>The system is a prototype and is not yet production-deployed.</w:t>
      </w:r>
    </w:p>
    <w:p>
      <w:pPr>
        <w:pStyle w:val="Heading1"/>
      </w:pPr>
      <w:r>
        <w:t>8. Future Improvements</w:t>
      </w:r>
    </w:p>
    <w:p>
      <w:pPr>
        <w:pStyle w:val="ListBullet"/>
      </w:pPr>
      <w:r>
        <w:t>Create a fresh unseen human_test_data_v2.csv to measure generalization.</w:t>
      </w:r>
    </w:p>
    <w:p>
      <w:pPr>
        <w:pStyle w:val="ListBullet"/>
      </w:pPr>
      <w:r>
        <w:t>Increase examples for help, fallback, and student_services.</w:t>
      </w:r>
    </w:p>
    <w:p>
      <w:pPr>
        <w:pStyle w:val="ListBullet"/>
      </w:pPr>
      <w:r>
        <w:t>Add response-quality scoring, not only intent accuracy.</w:t>
      </w:r>
    </w:p>
    <w:p>
      <w:pPr>
        <w:pStyle w:val="ListBullet"/>
      </w:pPr>
      <w:r>
        <w:t>Connect the knowledge base to real university systems or an admin update panel.</w:t>
      </w:r>
    </w:p>
    <w:p>
      <w:pPr>
        <w:pStyle w:val="ListBullet"/>
      </w:pPr>
      <w:r>
        <w:t>Improve GUI chat history formatting and accessibility if needed.</w:t>
      </w:r>
    </w:p>
    <w:p>
      <w:pPr>
        <w:pStyle w:val="ListBullet"/>
      </w:pPr>
      <w:r>
        <w:t>Package the application for easy installation and demonstration.</w:t>
      </w:r>
    </w:p>
    <w:p>
      <w:pPr>
        <w:pStyle w:val="ListBullet"/>
      </w:pPr>
      <w:r>
        <w:t>Add automated unit tests for NER, routing rules, and response generation.</w:t>
      </w:r>
    </w:p>
    <w:p>
      <w:pPr>
        <w:pStyle w:val="Heading1"/>
      </w:pPr>
      <w:r>
        <w:t>9. Conclusion</w:t>
      </w:r>
    </w:p>
    <w:p>
      <w:r>
        <w:t>The Student Information Chatbot is completed as a strong academic and demo-ready prototype. It includes a correct ML training pipeline, calibrated intent classification, rule-based NER, context handling, out-of-domain filtering, knowledge-base responses, GUI access, logging, and multiple evaluation modes. The system performs very well on the prepared test set and is ready for presentation or submission, while future work should focus on broader unseen testing and real institutional data integration.</w:t>
      </w:r>
    </w:p>
    <w:p>
      <w:pPr>
        <w:pStyle w:val="Heading1"/>
      </w:pPr>
      <w:r>
        <w:t>Appendix A: Key Commands</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1F4E79"/>
          </w:tcPr>
          <w:p>
            <w:r/>
            <w:r>
              <w:rPr>
                <w:b/>
                <w:color w:val="FFFFFF"/>
              </w:rPr>
              <w:t>Task</w:t>
            </w:r>
          </w:p>
        </w:tc>
        <w:tc>
          <w:tcPr>
            <w:tcW w:type="dxa" w:w="4896"/>
            <w:vAlign w:val="center"/>
            <w:shd w:fill="1F4E79"/>
          </w:tcPr>
          <w:p>
            <w:r/>
            <w:r>
              <w:rPr>
                <w:b/>
                <w:color w:val="FFFFFF"/>
              </w:rPr>
              <w:t>Command</w:t>
            </w:r>
          </w:p>
        </w:tc>
      </w:tr>
      <w:tr>
        <w:tc>
          <w:tcPr>
            <w:tcW w:type="dxa" w:w="4896"/>
            <w:vAlign w:val="center"/>
          </w:tcPr>
          <w:p>
            <w:r/>
            <w:r>
              <w:rPr>
                <w:b w:val="0"/>
              </w:rPr>
              <w:t>Train model</w:t>
            </w:r>
          </w:p>
        </w:tc>
        <w:tc>
          <w:tcPr>
            <w:tcW w:type="dxa" w:w="4896"/>
            <w:vAlign w:val="center"/>
          </w:tcPr>
          <w:p>
            <w:r/>
            <w:r>
              <w:rPr>
                <w:b w:val="0"/>
              </w:rPr>
              <w:t>.\.venv\Scripts\python.exe train.py</w:t>
            </w:r>
          </w:p>
        </w:tc>
      </w:tr>
      <w:tr>
        <w:tc>
          <w:tcPr>
            <w:tcW w:type="dxa" w:w="4896"/>
            <w:vAlign w:val="center"/>
          </w:tcPr>
          <w:p>
            <w:r/>
            <w:r>
              <w:rPr>
                <w:b w:val="0"/>
              </w:rPr>
              <w:t>Run CLI chatbot</w:t>
            </w:r>
          </w:p>
        </w:tc>
        <w:tc>
          <w:tcPr>
            <w:tcW w:type="dxa" w:w="4896"/>
            <w:vAlign w:val="center"/>
          </w:tcPr>
          <w:p>
            <w:r/>
            <w:r>
              <w:rPr>
                <w:b w:val="0"/>
              </w:rPr>
              <w:t>.\.venv\Scripts\python.exe app.py</w:t>
            </w:r>
          </w:p>
        </w:tc>
      </w:tr>
      <w:tr>
        <w:tc>
          <w:tcPr>
            <w:tcW w:type="dxa" w:w="4896"/>
            <w:vAlign w:val="center"/>
          </w:tcPr>
          <w:p>
            <w:r/>
            <w:r>
              <w:rPr>
                <w:b w:val="0"/>
              </w:rPr>
              <w:t>Run GUI chatbot</w:t>
            </w:r>
          </w:p>
        </w:tc>
        <w:tc>
          <w:tcPr>
            <w:tcW w:type="dxa" w:w="4896"/>
            <w:vAlign w:val="center"/>
          </w:tcPr>
          <w:p>
            <w:r/>
            <w:r>
              <w:rPr>
                <w:b w:val="0"/>
              </w:rPr>
              <w:t>.\.venv\Scripts\python.exe gui.py</w:t>
            </w:r>
          </w:p>
        </w:tc>
      </w:tr>
      <w:tr>
        <w:tc>
          <w:tcPr>
            <w:tcW w:type="dxa" w:w="4896"/>
            <w:vAlign w:val="center"/>
          </w:tcPr>
          <w:p>
            <w:r/>
            <w:r>
              <w:rPr>
                <w:b w:val="0"/>
              </w:rPr>
              <w:t>Run real-world evaluation</w:t>
            </w:r>
          </w:p>
        </w:tc>
        <w:tc>
          <w:tcPr>
            <w:tcW w:type="dxa" w:w="4896"/>
            <w:vAlign w:val="center"/>
          </w:tcPr>
          <w:p>
            <w:r/>
            <w:r>
              <w:rPr>
                <w:b w:val="0"/>
              </w:rPr>
              <w:t>.\.venv\Scripts\python.exe evaluate_real_world.py</w:t>
            </w:r>
          </w:p>
        </w:tc>
      </w:tr>
      <w:tr>
        <w:tc>
          <w:tcPr>
            <w:tcW w:type="dxa" w:w="4896"/>
            <w:vAlign w:val="center"/>
          </w:tcPr>
          <w:p>
            <w:r/>
            <w:r>
              <w:rPr>
                <w:b w:val="0"/>
              </w:rPr>
              <w:t>Run functional audit</w:t>
            </w:r>
          </w:p>
        </w:tc>
        <w:tc>
          <w:tcPr>
            <w:tcW w:type="dxa" w:w="4896"/>
            <w:vAlign w:val="center"/>
          </w:tcPr>
          <w:p>
            <w:r/>
            <w:r>
              <w:rPr>
                <w:b w:val="0"/>
              </w:rPr>
              <w:t>.\.venv\Scripts\python.exe run_audit_tests.py</w:t>
            </w:r>
          </w:p>
        </w:tc>
      </w:tr>
    </w:tbl>
    <w:p/>
    <w:p>
      <w:pPr>
        <w:jc w:val="center"/>
      </w:pPr>
      <w:r>
        <w:rPr>
          <w:i/>
          <w:color w:val="646464"/>
        </w:rPr>
        <w:t>End of Project Report</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