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D16B" w14:textId="77777777" w:rsidR="0057326C" w:rsidRDefault="00000000">
      <w:pPr>
        <w:pStyle w:val="Heading1"/>
      </w:pPr>
      <w:r>
        <w:t>Module 4 – Nonclinical Study Reports</w:t>
      </w:r>
    </w:p>
    <w:p w14:paraId="5946F7DF" w14:textId="77777777" w:rsidR="0057326C" w:rsidRDefault="00000000">
      <w:pPr>
        <w:pStyle w:val="Heading2"/>
      </w:pPr>
      <w:r>
        <w:t>4.2.3 Toxicology</w:t>
      </w:r>
    </w:p>
    <w:p w14:paraId="12A0058C" w14:textId="77777777" w:rsidR="0057326C" w:rsidRDefault="00000000">
      <w:r>
        <w:t>This document contains simulated nonclinical toxicology data generated solely for software testing, extraction validation, and demonstration purposes. All data herein are fictitious.</w:t>
      </w:r>
    </w:p>
    <w:p w14:paraId="50DBA46D" w14:textId="77777777" w:rsidR="00B63CD5" w:rsidRDefault="00B63CD5" w:rsidP="00B63CD5">
      <w:pPr>
        <w:pStyle w:val="Heading4"/>
      </w:pPr>
      <w:r>
        <w:t>4.2.3.1 Single-Dose Toxicity Study</w:t>
      </w:r>
    </w:p>
    <w:p w14:paraId="153FD054" w14:textId="77777777" w:rsidR="00B63CD5" w:rsidRDefault="00B63CD5" w:rsidP="00B63CD5">
      <w:r>
        <w:t>A single-dose toxicity study was conducted in Sprague-Dawley rats to evaluate the acute toxic effects of Compound X following oral administration.</w:t>
      </w:r>
    </w:p>
    <w:p w14:paraId="4C27DB1D" w14:textId="77777777" w:rsidR="00B63CD5" w:rsidRDefault="00B63CD5" w:rsidP="00B63CD5">
      <w:r>
        <w:t>Study Design:</w:t>
      </w:r>
    </w:p>
    <w:p w14:paraId="300DD502" w14:textId="77777777" w:rsidR="00B63CD5" w:rsidRDefault="00B63CD5" w:rsidP="00B63CD5">
      <w:pPr>
        <w:pStyle w:val="ListBullet"/>
      </w:pPr>
      <w:r>
        <w:t>- Species: Rat (Sprague-Dawley)</w:t>
      </w:r>
    </w:p>
    <w:p w14:paraId="1DB16FAA" w14:textId="77777777" w:rsidR="00B63CD5" w:rsidRDefault="00B63CD5" w:rsidP="00B63CD5">
      <w:pPr>
        <w:pStyle w:val="ListBullet"/>
      </w:pPr>
      <w:r>
        <w:t>- Sex: Male and Female</w:t>
      </w:r>
    </w:p>
    <w:p w14:paraId="3B15A09A" w14:textId="77777777" w:rsidR="00B63CD5" w:rsidRDefault="00B63CD5" w:rsidP="00B63CD5">
      <w:pPr>
        <w:pStyle w:val="ListBullet"/>
      </w:pPr>
      <w:r>
        <w:t>- Route of Administration: Oral gavage</w:t>
      </w:r>
    </w:p>
    <w:p w14:paraId="47BF179A" w14:textId="77777777" w:rsidR="00B63CD5" w:rsidRDefault="00B63CD5" w:rsidP="00B63CD5">
      <w:pPr>
        <w:pStyle w:val="ListBullet"/>
      </w:pPr>
      <w:r>
        <w:t>- Dose Levels: 0, 50, 150, 500 mg/kg</w:t>
      </w:r>
    </w:p>
    <w:p w14:paraId="08F938C1" w14:textId="77777777" w:rsidR="00B63CD5" w:rsidRDefault="00B63CD5" w:rsidP="00B63CD5">
      <w:pPr>
        <w:pStyle w:val="ListBullet"/>
      </w:pPr>
      <w:r>
        <w:t>- Observation Period: 14 days</w:t>
      </w:r>
    </w:p>
    <w:p w14:paraId="5C02F45E" w14:textId="77777777" w:rsidR="00B63CD5" w:rsidRDefault="00B63CD5" w:rsidP="00B63CD5">
      <w:r>
        <w:t>Results Summary:</w:t>
      </w:r>
    </w:p>
    <w:p w14:paraId="4CAAD5DF" w14:textId="63B3EA4A" w:rsidR="00B63CD5" w:rsidRDefault="00B63CD5">
      <w:r>
        <w:t>No mortality was observed at doses up to 150 mg/kg. At 500 mg/kg, transient clinical signs including reduced activity and piloerection were noted within the first 24 hours post-dose, resolving by Day 3.</w:t>
      </w:r>
    </w:p>
    <w:p w14:paraId="2001960A" w14:textId="77777777" w:rsidR="0057326C" w:rsidRDefault="00000000">
      <w:pPr>
        <w:pStyle w:val="Heading3"/>
      </w:pPr>
      <w:r>
        <w:t>4.2.3.2 Repeat-Dose Toxicity Study (28-Day)</w:t>
      </w:r>
    </w:p>
    <w:p w14:paraId="77E5D0BA" w14:textId="77777777" w:rsidR="0057326C" w:rsidRDefault="00000000">
      <w:r>
        <w:t>A 28-day repeat-dose oral toxicity study was conducted in Sprague-Dawley rats to evaluate systemic toxicity and establish a NOAEL.</w:t>
      </w:r>
    </w:p>
    <w:p w14:paraId="36ED267F" w14:textId="77777777" w:rsidR="00B63CD5" w:rsidRDefault="00B63CD5" w:rsidP="00B63CD5">
      <w:r>
        <w:t>Study Design:</w:t>
      </w:r>
    </w:p>
    <w:p w14:paraId="42EAB31F" w14:textId="77777777" w:rsidR="00B63CD5" w:rsidRDefault="00B63CD5" w:rsidP="00B63CD5">
      <w:pPr>
        <w:pStyle w:val="ListBullet"/>
      </w:pPr>
      <w:r>
        <w:t>- Species: Rat (Sprague-Dawley)</w:t>
      </w:r>
    </w:p>
    <w:p w14:paraId="40E69610" w14:textId="77777777" w:rsidR="00B63CD5" w:rsidRDefault="00B63CD5" w:rsidP="00B63CD5">
      <w:pPr>
        <w:pStyle w:val="ListBullet"/>
      </w:pPr>
      <w:r>
        <w:t>- Group Size: 10 animals/sex/group</w:t>
      </w:r>
    </w:p>
    <w:p w14:paraId="6917A992" w14:textId="77777777" w:rsidR="00B63CD5" w:rsidRDefault="00B63CD5" w:rsidP="00B63CD5">
      <w:pPr>
        <w:pStyle w:val="ListBullet"/>
      </w:pPr>
      <w:r>
        <w:t>- Route: Oral gavage</w:t>
      </w:r>
    </w:p>
    <w:p w14:paraId="4BD12400" w14:textId="77777777" w:rsidR="00B63CD5" w:rsidRDefault="00B63CD5" w:rsidP="00B63CD5">
      <w:pPr>
        <w:pStyle w:val="ListBullet"/>
      </w:pPr>
      <w:r>
        <w:t>- Dose Levels: 0, 10, 30, 100 mg/kg/day</w:t>
      </w:r>
    </w:p>
    <w:p w14:paraId="315EE54C" w14:textId="77777777" w:rsidR="00B63CD5" w:rsidRDefault="00B63CD5" w:rsidP="00B63CD5">
      <w:r>
        <w:t>Key Findings:</w:t>
      </w:r>
    </w:p>
    <w:p w14:paraId="208F7186" w14:textId="77777777" w:rsidR="00B63CD5" w:rsidRDefault="00B63CD5" w:rsidP="00B63CD5">
      <w:r>
        <w:t>At 100 mg/kg/day, minimal hepatocellular hypertrophy was observed, accompanied by mild increases in liver weight. No treatment-related microscopic findings were observed at 30 mg/kg/day or below.</w:t>
      </w:r>
    </w:p>
    <w:p w14:paraId="3A02DE26" w14:textId="77777777" w:rsidR="00B63CD5" w:rsidRDefault="00B63CD5" w:rsidP="00B63CD5">
      <w:r>
        <w:t>NOAEL:</w:t>
      </w:r>
    </w:p>
    <w:p w14:paraId="653B81BD" w14:textId="7C1C101B" w:rsidR="00B63CD5" w:rsidRDefault="00B63CD5">
      <w:r>
        <w:t>Based on the absence of adverse findings, the NOAEL was determined to be 30 mg/kg/day in rats under the conditions of this study.</w:t>
      </w:r>
    </w:p>
    <w:p w14:paraId="46855A45" w14:textId="77777777" w:rsidR="0057326C" w:rsidRDefault="00000000">
      <w:r>
        <w:lastRenderedPageBreak/>
        <w:t>Table 4.2.3-1. Clinical Chemistry Parameters (Day 28)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7326C" w14:paraId="38E8D529" w14:textId="77777777">
        <w:tc>
          <w:tcPr>
            <w:tcW w:w="2160" w:type="dxa"/>
          </w:tcPr>
          <w:p w14:paraId="04E4D5B9" w14:textId="77777777" w:rsidR="0057326C" w:rsidRDefault="00000000">
            <w:r>
              <w:t>Dose (mg/kg/day)</w:t>
            </w:r>
          </w:p>
        </w:tc>
        <w:tc>
          <w:tcPr>
            <w:tcW w:w="2160" w:type="dxa"/>
          </w:tcPr>
          <w:p w14:paraId="59E7C6B7" w14:textId="77777777" w:rsidR="0057326C" w:rsidRDefault="00000000">
            <w:r>
              <w:t>ALT (U/L)</w:t>
            </w:r>
          </w:p>
        </w:tc>
        <w:tc>
          <w:tcPr>
            <w:tcW w:w="2160" w:type="dxa"/>
          </w:tcPr>
          <w:p w14:paraId="2BBF3046" w14:textId="77777777" w:rsidR="0057326C" w:rsidRDefault="00000000">
            <w:r>
              <w:t>AST (U/L)</w:t>
            </w:r>
          </w:p>
        </w:tc>
        <w:tc>
          <w:tcPr>
            <w:tcW w:w="2160" w:type="dxa"/>
          </w:tcPr>
          <w:p w14:paraId="60ABC671" w14:textId="77777777" w:rsidR="0057326C" w:rsidRDefault="00000000">
            <w:r>
              <w:t>BUN (mg/dL)</w:t>
            </w:r>
          </w:p>
        </w:tc>
      </w:tr>
      <w:tr w:rsidR="0057326C" w14:paraId="67764C48" w14:textId="77777777">
        <w:tc>
          <w:tcPr>
            <w:tcW w:w="2160" w:type="dxa"/>
          </w:tcPr>
          <w:p w14:paraId="57466640" w14:textId="77777777" w:rsidR="0057326C" w:rsidRDefault="00000000">
            <w:r>
              <w:t>0</w:t>
            </w:r>
          </w:p>
        </w:tc>
        <w:tc>
          <w:tcPr>
            <w:tcW w:w="2160" w:type="dxa"/>
          </w:tcPr>
          <w:p w14:paraId="42CD95B8" w14:textId="77777777" w:rsidR="0057326C" w:rsidRDefault="00000000">
            <w:r>
              <w:t>45</w:t>
            </w:r>
          </w:p>
        </w:tc>
        <w:tc>
          <w:tcPr>
            <w:tcW w:w="2160" w:type="dxa"/>
          </w:tcPr>
          <w:p w14:paraId="63F57FF8" w14:textId="77777777" w:rsidR="0057326C" w:rsidRDefault="00000000">
            <w:r>
              <w:t>38</w:t>
            </w:r>
          </w:p>
        </w:tc>
        <w:tc>
          <w:tcPr>
            <w:tcW w:w="2160" w:type="dxa"/>
          </w:tcPr>
          <w:p w14:paraId="5C3B3BE9" w14:textId="77777777" w:rsidR="0057326C" w:rsidRDefault="00000000">
            <w:r>
              <w:t>18</w:t>
            </w:r>
          </w:p>
        </w:tc>
      </w:tr>
      <w:tr w:rsidR="0057326C" w14:paraId="0A1930D6" w14:textId="77777777">
        <w:tc>
          <w:tcPr>
            <w:tcW w:w="2160" w:type="dxa"/>
          </w:tcPr>
          <w:p w14:paraId="405962EA" w14:textId="77777777" w:rsidR="0057326C" w:rsidRDefault="00000000">
            <w:r>
              <w:t>10</w:t>
            </w:r>
          </w:p>
        </w:tc>
        <w:tc>
          <w:tcPr>
            <w:tcW w:w="2160" w:type="dxa"/>
          </w:tcPr>
          <w:p w14:paraId="40346F0B" w14:textId="77777777" w:rsidR="0057326C" w:rsidRDefault="00000000">
            <w:r>
              <w:t>47</w:t>
            </w:r>
          </w:p>
        </w:tc>
        <w:tc>
          <w:tcPr>
            <w:tcW w:w="2160" w:type="dxa"/>
          </w:tcPr>
          <w:p w14:paraId="3694D023" w14:textId="77777777" w:rsidR="0057326C" w:rsidRDefault="00000000">
            <w:r>
              <w:t>40</w:t>
            </w:r>
          </w:p>
        </w:tc>
        <w:tc>
          <w:tcPr>
            <w:tcW w:w="2160" w:type="dxa"/>
          </w:tcPr>
          <w:p w14:paraId="0601B213" w14:textId="77777777" w:rsidR="0057326C" w:rsidRDefault="00000000">
            <w:r>
              <w:t>19</w:t>
            </w:r>
          </w:p>
        </w:tc>
      </w:tr>
      <w:tr w:rsidR="0057326C" w14:paraId="640131BA" w14:textId="77777777">
        <w:tc>
          <w:tcPr>
            <w:tcW w:w="2160" w:type="dxa"/>
          </w:tcPr>
          <w:p w14:paraId="0373427C" w14:textId="77777777" w:rsidR="0057326C" w:rsidRDefault="00000000">
            <w:r>
              <w:t>30</w:t>
            </w:r>
          </w:p>
        </w:tc>
        <w:tc>
          <w:tcPr>
            <w:tcW w:w="2160" w:type="dxa"/>
          </w:tcPr>
          <w:p w14:paraId="77CA401F" w14:textId="77777777" w:rsidR="0057326C" w:rsidRDefault="00000000">
            <w:r>
              <w:t>50</w:t>
            </w:r>
          </w:p>
        </w:tc>
        <w:tc>
          <w:tcPr>
            <w:tcW w:w="2160" w:type="dxa"/>
          </w:tcPr>
          <w:p w14:paraId="250AE47E" w14:textId="77777777" w:rsidR="0057326C" w:rsidRDefault="00000000">
            <w:r>
              <w:t>42</w:t>
            </w:r>
          </w:p>
        </w:tc>
        <w:tc>
          <w:tcPr>
            <w:tcW w:w="2160" w:type="dxa"/>
          </w:tcPr>
          <w:p w14:paraId="2DEC7996" w14:textId="77777777" w:rsidR="0057326C" w:rsidRDefault="00000000">
            <w:r>
              <w:t>20</w:t>
            </w:r>
          </w:p>
        </w:tc>
      </w:tr>
      <w:tr w:rsidR="0057326C" w14:paraId="3B5BD10A" w14:textId="77777777">
        <w:tc>
          <w:tcPr>
            <w:tcW w:w="2160" w:type="dxa"/>
          </w:tcPr>
          <w:p w14:paraId="1CDD9C4A" w14:textId="77777777" w:rsidR="0057326C" w:rsidRDefault="00000000">
            <w:r>
              <w:t>100</w:t>
            </w:r>
          </w:p>
        </w:tc>
        <w:tc>
          <w:tcPr>
            <w:tcW w:w="2160" w:type="dxa"/>
          </w:tcPr>
          <w:p w14:paraId="7CC1960D" w14:textId="77777777" w:rsidR="0057326C" w:rsidRDefault="00000000">
            <w:r>
              <w:t>68</w:t>
            </w:r>
          </w:p>
        </w:tc>
        <w:tc>
          <w:tcPr>
            <w:tcW w:w="2160" w:type="dxa"/>
          </w:tcPr>
          <w:p w14:paraId="29A66264" w14:textId="77777777" w:rsidR="0057326C" w:rsidRDefault="00000000">
            <w:r>
              <w:t>60</w:t>
            </w:r>
          </w:p>
        </w:tc>
        <w:tc>
          <w:tcPr>
            <w:tcW w:w="2160" w:type="dxa"/>
          </w:tcPr>
          <w:p w14:paraId="6F195EEE" w14:textId="77777777" w:rsidR="0057326C" w:rsidRDefault="00000000">
            <w:r>
              <w:t>28</w:t>
            </w:r>
          </w:p>
        </w:tc>
      </w:tr>
    </w:tbl>
    <w:p w14:paraId="4C6F3AC8" w14:textId="77777777" w:rsidR="0057326C" w:rsidRDefault="00000000">
      <w:r>
        <w:t>Mild, dose-dependent increases in ALT and AST were observed at 100 mg/kg/day.</w:t>
      </w:r>
    </w:p>
    <w:p w14:paraId="622EF5CD" w14:textId="77777777" w:rsidR="0057326C" w:rsidRDefault="00000000">
      <w:r>
        <w:t>Figure 4.2.3-1. Mean ALT Levels in Rats (Day 28)</w:t>
      </w:r>
    </w:p>
    <w:p w14:paraId="3E98AFEF" w14:textId="77777777" w:rsidR="0057326C" w:rsidRDefault="00000000">
      <w:r>
        <w:rPr>
          <w:noProof/>
        </w:rPr>
        <w:drawing>
          <wp:inline distT="0" distB="0" distL="0" distR="0" wp14:anchorId="4C860EA1" wp14:editId="4DEC1100">
            <wp:extent cx="41148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ke_figur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4456" w14:textId="77777777" w:rsidR="0057326C" w:rsidRDefault="00000000">
      <w:r>
        <w:t>Table 4.2.3-2. Relative Liver Weights (% Body Weight)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326C" w14:paraId="593564A0" w14:textId="77777777">
        <w:tc>
          <w:tcPr>
            <w:tcW w:w="2880" w:type="dxa"/>
          </w:tcPr>
          <w:p w14:paraId="262448EC" w14:textId="77777777" w:rsidR="0057326C" w:rsidRDefault="00000000">
            <w:r>
              <w:t>Dose (mg/kg/day)</w:t>
            </w:r>
          </w:p>
        </w:tc>
        <w:tc>
          <w:tcPr>
            <w:tcW w:w="2880" w:type="dxa"/>
          </w:tcPr>
          <w:p w14:paraId="590E499F" w14:textId="77777777" w:rsidR="0057326C" w:rsidRDefault="00000000">
            <w:r>
              <w:t>Male</w:t>
            </w:r>
          </w:p>
        </w:tc>
        <w:tc>
          <w:tcPr>
            <w:tcW w:w="2880" w:type="dxa"/>
          </w:tcPr>
          <w:p w14:paraId="142B38F9" w14:textId="77777777" w:rsidR="0057326C" w:rsidRDefault="00000000">
            <w:r>
              <w:t>Female</w:t>
            </w:r>
          </w:p>
        </w:tc>
      </w:tr>
      <w:tr w:rsidR="0057326C" w14:paraId="4B25FC91" w14:textId="77777777">
        <w:tc>
          <w:tcPr>
            <w:tcW w:w="2880" w:type="dxa"/>
          </w:tcPr>
          <w:p w14:paraId="7062227E" w14:textId="77777777" w:rsidR="0057326C" w:rsidRDefault="00000000">
            <w:r>
              <w:t>0</w:t>
            </w:r>
          </w:p>
        </w:tc>
        <w:tc>
          <w:tcPr>
            <w:tcW w:w="2880" w:type="dxa"/>
          </w:tcPr>
          <w:p w14:paraId="7FD229D7" w14:textId="77777777" w:rsidR="0057326C" w:rsidRDefault="00000000">
            <w:r>
              <w:t>3.2</w:t>
            </w:r>
          </w:p>
        </w:tc>
        <w:tc>
          <w:tcPr>
            <w:tcW w:w="2880" w:type="dxa"/>
          </w:tcPr>
          <w:p w14:paraId="3C9C16DD" w14:textId="77777777" w:rsidR="0057326C" w:rsidRDefault="00000000">
            <w:r>
              <w:t>3.1</w:t>
            </w:r>
          </w:p>
        </w:tc>
      </w:tr>
      <w:tr w:rsidR="0057326C" w14:paraId="4E61788E" w14:textId="77777777">
        <w:tc>
          <w:tcPr>
            <w:tcW w:w="2880" w:type="dxa"/>
          </w:tcPr>
          <w:p w14:paraId="0B57302E" w14:textId="77777777" w:rsidR="0057326C" w:rsidRDefault="00000000">
            <w:r>
              <w:t>10</w:t>
            </w:r>
          </w:p>
        </w:tc>
        <w:tc>
          <w:tcPr>
            <w:tcW w:w="2880" w:type="dxa"/>
          </w:tcPr>
          <w:p w14:paraId="2ADFFE99" w14:textId="77777777" w:rsidR="0057326C" w:rsidRDefault="00000000">
            <w:r>
              <w:t>3.3</w:t>
            </w:r>
          </w:p>
        </w:tc>
        <w:tc>
          <w:tcPr>
            <w:tcW w:w="2880" w:type="dxa"/>
          </w:tcPr>
          <w:p w14:paraId="6E36FBA9" w14:textId="77777777" w:rsidR="0057326C" w:rsidRDefault="00000000">
            <w:r>
              <w:t>3.2</w:t>
            </w:r>
          </w:p>
        </w:tc>
      </w:tr>
      <w:tr w:rsidR="0057326C" w14:paraId="5C37115D" w14:textId="77777777">
        <w:tc>
          <w:tcPr>
            <w:tcW w:w="2880" w:type="dxa"/>
          </w:tcPr>
          <w:p w14:paraId="0C5ACAA9" w14:textId="77777777" w:rsidR="0057326C" w:rsidRDefault="00000000">
            <w:r>
              <w:t>30</w:t>
            </w:r>
          </w:p>
        </w:tc>
        <w:tc>
          <w:tcPr>
            <w:tcW w:w="2880" w:type="dxa"/>
          </w:tcPr>
          <w:p w14:paraId="121D7E87" w14:textId="77777777" w:rsidR="0057326C" w:rsidRDefault="00000000">
            <w:r>
              <w:t>3.4</w:t>
            </w:r>
          </w:p>
        </w:tc>
        <w:tc>
          <w:tcPr>
            <w:tcW w:w="2880" w:type="dxa"/>
          </w:tcPr>
          <w:p w14:paraId="108BBF50" w14:textId="77777777" w:rsidR="0057326C" w:rsidRDefault="00000000">
            <w:r>
              <w:t>3.3</w:t>
            </w:r>
          </w:p>
        </w:tc>
      </w:tr>
      <w:tr w:rsidR="0057326C" w14:paraId="782F62A8" w14:textId="77777777">
        <w:tc>
          <w:tcPr>
            <w:tcW w:w="2880" w:type="dxa"/>
          </w:tcPr>
          <w:p w14:paraId="47A20A8E" w14:textId="77777777" w:rsidR="0057326C" w:rsidRDefault="00000000">
            <w:r>
              <w:t>100</w:t>
            </w:r>
          </w:p>
        </w:tc>
        <w:tc>
          <w:tcPr>
            <w:tcW w:w="2880" w:type="dxa"/>
          </w:tcPr>
          <w:p w14:paraId="2E7BC766" w14:textId="77777777" w:rsidR="0057326C" w:rsidRDefault="00000000">
            <w:r>
              <w:t>4.1</w:t>
            </w:r>
          </w:p>
        </w:tc>
        <w:tc>
          <w:tcPr>
            <w:tcW w:w="2880" w:type="dxa"/>
          </w:tcPr>
          <w:p w14:paraId="5D9D576A" w14:textId="77777777" w:rsidR="0057326C" w:rsidRDefault="00000000">
            <w:r>
              <w:t>4.0</w:t>
            </w:r>
          </w:p>
        </w:tc>
      </w:tr>
    </w:tbl>
    <w:p w14:paraId="4CE8CF7A" w14:textId="77777777" w:rsidR="0057326C" w:rsidRDefault="00000000">
      <w:r>
        <w:t>Increased relative liver weights were observed at 100 mg/kg/day.</w:t>
      </w:r>
    </w:p>
    <w:p w14:paraId="1A6C4C52" w14:textId="77777777" w:rsidR="0057326C" w:rsidRDefault="00000000">
      <w:r>
        <w:t>Figure 4.2.3-2. Representative Liver Histopathology (H&amp;E Stain)</w:t>
      </w:r>
    </w:p>
    <w:p w14:paraId="47B8A6D4" w14:textId="77777777" w:rsidR="0057326C" w:rsidRDefault="00000000">
      <w:r>
        <w:rPr>
          <w:noProof/>
        </w:rPr>
        <w:lastRenderedPageBreak/>
        <w:drawing>
          <wp:inline distT="0" distB="0" distL="0" distR="0" wp14:anchorId="74551705" wp14:editId="7F611BD7">
            <wp:extent cx="41148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ke_figur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DFF8" w14:textId="77777777" w:rsidR="0057326C" w:rsidRDefault="00000000">
      <w:pPr>
        <w:pStyle w:val="Heading3"/>
      </w:pPr>
      <w:r>
        <w:t>NOAEL Determination</w:t>
      </w:r>
    </w:p>
    <w:p w14:paraId="11F22F0A" w14:textId="07BC2B61" w:rsidR="00B63CD5" w:rsidRDefault="00000000">
      <w:r>
        <w:t>Based on clinical chemistry and organ weight changes observed at 100 mg/kg/day, the NOAEL was determined to be 30 mg/kg/day.</w:t>
      </w:r>
    </w:p>
    <w:p w14:paraId="4E2BD657" w14:textId="77777777" w:rsidR="00B63CD5" w:rsidRDefault="00B63CD5" w:rsidP="00B63CD5">
      <w:pPr>
        <w:pStyle w:val="Heading4"/>
      </w:pPr>
      <w:r>
        <w:t>4.2.3.3 Genotoxicity (Ames Test)</w:t>
      </w:r>
    </w:p>
    <w:p w14:paraId="02CA94DC" w14:textId="77777777" w:rsidR="00B63CD5" w:rsidRDefault="00B63CD5" w:rsidP="00B63CD5">
      <w:r>
        <w:t>Compound X was evaluated for mutagenic potential using a bacterial reverse mutation assay (</w:t>
      </w:r>
      <w:proofErr w:type="gramStart"/>
      <w:r>
        <w:t>Ames</w:t>
      </w:r>
      <w:proofErr w:type="gramEnd"/>
      <w:r>
        <w:t xml:space="preserve"> test). No increase in revertant colonies was observed with or without metabolic activation.</w:t>
      </w:r>
    </w:p>
    <w:p w14:paraId="30BD79D0" w14:textId="77777777" w:rsidR="00B63CD5" w:rsidRDefault="00B63CD5" w:rsidP="00B63CD5">
      <w:pPr>
        <w:pStyle w:val="Heading4"/>
      </w:pPr>
      <w:r>
        <w:t>4.2.3.4 Conclusion</w:t>
      </w:r>
    </w:p>
    <w:p w14:paraId="6FF6FBC0" w14:textId="77777777" w:rsidR="00B63CD5" w:rsidRDefault="00B63CD5" w:rsidP="00B63CD5">
      <w:r>
        <w:t>The simulated toxicology studies indicate that Compound X was generally well tolerated in rats, with dose-limiting effects observed only at high doses. These data support further nonclinical development.</w:t>
      </w:r>
    </w:p>
    <w:p w14:paraId="7E779F6B" w14:textId="77777777" w:rsidR="00B63CD5" w:rsidRDefault="00B63CD5"/>
    <w:sectPr w:rsidR="00B63C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928117">
    <w:abstractNumId w:val="8"/>
  </w:num>
  <w:num w:numId="2" w16cid:durableId="440341417">
    <w:abstractNumId w:val="6"/>
  </w:num>
  <w:num w:numId="3" w16cid:durableId="1006253595">
    <w:abstractNumId w:val="5"/>
  </w:num>
  <w:num w:numId="4" w16cid:durableId="242955270">
    <w:abstractNumId w:val="4"/>
  </w:num>
  <w:num w:numId="5" w16cid:durableId="1226572819">
    <w:abstractNumId w:val="7"/>
  </w:num>
  <w:num w:numId="6" w16cid:durableId="1967812964">
    <w:abstractNumId w:val="3"/>
  </w:num>
  <w:num w:numId="7" w16cid:durableId="1556820523">
    <w:abstractNumId w:val="2"/>
  </w:num>
  <w:num w:numId="8" w16cid:durableId="1496649212">
    <w:abstractNumId w:val="1"/>
  </w:num>
  <w:num w:numId="9" w16cid:durableId="33122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26C"/>
    <w:rsid w:val="006D6C34"/>
    <w:rsid w:val="00AA1D8D"/>
    <w:rsid w:val="00B47730"/>
    <w:rsid w:val="00B63C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A0BBB"/>
  <w14:defaultImageDpi w14:val="300"/>
  <w15:docId w15:val="{F6A7C7DC-E54F-4741-8351-BAD78961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 Lee</cp:lastModifiedBy>
  <cp:revision>2</cp:revision>
  <dcterms:created xsi:type="dcterms:W3CDTF">2013-12-23T23:15:00Z</dcterms:created>
  <dcterms:modified xsi:type="dcterms:W3CDTF">2026-01-08T13:54:00Z</dcterms:modified>
  <cp:category/>
</cp:coreProperties>
</file>