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5.png" ContentType="image/png"/>
  <Override PartName="/word/media/rId18.png" ContentType="image/png"/>
  <Override PartName="/word/media/rId21.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·:Lpath</w:t>
      </w:r>
      <w:r>
        <w:t xml:space="preserve"> </w:t>
      </w:r>
      <w:r>
        <w:t xml:space="preserve">CONTROLLED FORM</w:t>
      </w:r>
      <w:r>
        <w:t xml:space="preserve"> </w:t>
      </w:r>
      <w:r>
        <w:t xml:space="preserve">INCORPORAT I P</w:t>
      </w:r>
      <w:r>
        <w:t xml:space="preserve"> </w:t>
      </w:r>
      <w:r>
        <w:t xml:space="preserve">TITLE: GXP and Non-GXP Study Report Review and Approval Fonn</w:t>
      </w:r>
      <w:r>
        <w:t xml:space="preserve"> </w:t>
      </w:r>
      <w:r>
        <w:t xml:space="preserve">DOCUMENT NO. VERSION ISSUE DATE EFFECTIVE DATE PAGE</w:t>
      </w:r>
      <w:r>
        <w:t xml:space="preserve"> </w:t>
      </w:r>
      <w:r>
        <w:t xml:space="preserve">GE003FM01 I 02 I 17 Oct 2014 I 20 Oct 2014 I 2 of2</w:t>
      </w:r>
      <w:r>
        <w:t xml:space="preserve"> </w:t>
      </w:r>
      <w:r>
        <w:t xml:space="preserve">o vendor Study Protocol O vendor Study Report [{] Lpath Study Report</w:t>
      </w:r>
      <w:r>
        <w:t xml:space="preserve"> </w:t>
      </w:r>
      <w:r>
        <w:t xml:space="preserve">—-,</w:t>
      </w:r>
      <w:r>
        <w:t xml:space="preserve"> </w:t>
      </w:r>
      <w:r>
        <w:t xml:space="preserve">Lpath Study No.: LT 3114-PHA-016-R Version No.: 0/ {Non GXP GLP</w:t>
      </w:r>
      <w:r>
        <w:t xml:space="preserve"> </w:t>
      </w:r>
      <w:r>
        <w:t xml:space="preserve">i==</w:t>
      </w:r>
      <w:r>
        <w:t xml:space="preserve"> </w:t>
      </w:r>
      <w:r>
        <w:t xml:space="preserve">r—’ GCP GMP</w:t>
      </w:r>
      <w:r>
        <w:t xml:space="preserve"> </w:t>
      </w:r>
      <w:r>
        <w:t xml:space="preserve">Product Name: L T3114 Test Article: 83; LT 3114</w:t>
      </w:r>
      <w:r>
        <w:t xml:space="preserve"> </w:t>
      </w:r>
      <w:r>
        <w:t xml:space="preserve">Study Title: Direct and competitive binding of anti-LPA antibodies 83 and LT 3114</w:t>
      </w:r>
      <w:r>
        <w:t xml:space="preserve"> </w:t>
      </w:r>
      <w:r>
        <w:t xml:space="preserve">Study Vendor/Site: U NJA I Study Director: UN/A I Study Contributor(s): U NJA</w:t>
      </w:r>
      <w:r>
        <w:t xml:space="preserve"> </w:t>
      </w:r>
      <w:r>
        <w:t xml:space="preserve">LPath Rosalia Matteo Kelli Moreno</w:t>
      </w:r>
      <w:r>
        <w:t xml:space="preserve"> </w:t>
      </w:r>
      <w:r>
        <w:t xml:space="preserve">Vendor Study No.Nersion: [{]NjA Study Dates: Report Date:</w:t>
      </w:r>
      <w:r>
        <w:t xml:space="preserve"> </w:t>
      </w:r>
      <w:r>
        <w:t xml:space="preserve">2007 Nov 2014</w:t>
      </w:r>
      <w:r>
        <w:t xml:space="preserve"> </w:t>
      </w:r>
      <w:r>
        <w:t xml:space="preserve">Lab Notebook Reference: LNB#312, pp5-6; LNB#301, pp102-103; LNB#220, p81 QJ/A</w:t>
      </w:r>
      <w:r>
        <w:t xml:space="preserve"> </w:t>
      </w:r>
      <w:r>
        <w:t xml:space="preserve">Executive summary of study results: O see Attached UN/A</w:t>
      </w:r>
      <w:r>
        <w:t xml:space="preserve"> </w:t>
      </w:r>
      <w:r>
        <w:t xml:space="preserve">Lpath has developed murine and humanized monoclonal antibodies targeting LPA. This report covers development of</w:t>
      </w:r>
      <w:r>
        <w:t xml:space="preserve"> </w:t>
      </w:r>
      <w:r>
        <w:t xml:space="preserve">ELISA methods that are both sensitive and specific for Acyl chain LPA isoforms. The Ki of both the murine and</w:t>
      </w:r>
      <w:r>
        <w:t xml:space="preserve"> </w:t>
      </w:r>
      <w:r>
        <w:t xml:space="preserve">humanized antibodies range from 15.8 nM to 986nM for all of the isoforms tested</w:t>
      </w:r>
      <w:r>
        <w:t xml:space="preserve"> </w:t>
      </w:r>
      <w:r>
        <w:t xml:space="preserve">LPATI:I AJ&gt;PROVAL</w:t>
      </w:r>
      <w:r>
        <w:t xml:space="preserve"> </w:t>
      </w:r>
      <w:r>
        <w:t xml:space="preserve">Function Name (Print) Signature Date</w:t>
      </w:r>
      <w:r>
        <w:t xml:space="preserve"> </w:t>
      </w:r>
      <w:r>
        <w:t xml:space="preserve">Study Director/Monitor \2.n &lt;..a I Cl.- M a .:tr r o ( ~Ytd.J-&lt;</w:t>
      </w:r>
      <w:r>
        <w:rPr>
          <w:i/>
          <w:iCs/>
        </w:rPr>
        <w:t xml:space="preserve">–c)J- It f r ~ ). “). oll.f</w:t>
      </w:r>
      <w:r>
        <w:rPr>
          <w:i/>
          <w:iCs/>
        </w:rPr>
        <w:t xml:space="preserve"> </w:t>
      </w:r>
      <w:r>
        <w:rPr>
          <w:i/>
          <w:iCs/>
        </w:rPr>
        <w:t xml:space="preserve">Contributor tJA-</w:t>
      </w:r>
      <w:r>
        <w:rPr>
          <w:i/>
          <w:iCs/>
        </w:rPr>
        <w:t xml:space="preserve"> </w:t>
      </w:r>
      <w:r>
        <w:t xml:space="preserve">.—; tJ~ tft:) It /7,</w:t>
      </w:r>
      <w:r>
        <w:t xml:space="preserve"> </w:t>
      </w:r>
      <w:r>
        <w:t xml:space="preserve">‘1-/?c:.iY</w:t>
      </w:r>
      <w:r>
        <w:t xml:space="preserve"> </w:t>
      </w:r>
      <w:r>
        <w:t xml:space="preserve">Research CiA-Je’1 ~~ ~~ a &amp;&gt;7</w:t>
      </w:r>
      <w:r>
        <w:t xml:space="preserve"> </w:t>
      </w:r>
      <w:r>
        <w:rPr>
          <w:i/>
          <w:iCs/>
        </w:rPr>
        <w:t xml:space="preserve">n )A- II If g, I u l’f’</w:t>
      </w:r>
      <w:r>
        <w:rPr>
          <w:i/>
          <w:iCs/>
        </w:rPr>
        <w:t xml:space="preserve"> </w:t>
      </w:r>
      <w:r>
        <w:rPr>
          <w:i/>
          <w:iCs/>
        </w:rPr>
        <w:t xml:space="preserve">I/</w:t>
      </w:r>
      <w:r>
        <w:rPr>
          <w:i/>
          <w:iCs/>
        </w:rPr>
        <w:t xml:space="preserve"> </w:t>
      </w:r>
      <w:r>
        <w:rPr>
          <w:i/>
          <w:iCs/>
        </w:rPr>
        <w:t xml:space="preserve">Development ~,. fttt;lrl,.,.,’tJo ~ /lf/Z0!2</w:t>
      </w:r>
      <w:r>
        <w:t xml:space="preserve"> </w:t>
      </w:r>
      <w:r>
        <w:t xml:space="preserve">Quality Assurance R ht// /lA Ml9r2tfl.V &amp;’2-</w:t>
      </w:r>
      <w:r>
        <w:t xml:space="preserve"> </w:t>
      </w:r>
      <w:r>
        <w:rPr>
          <w:vertAlign w:val="subscript"/>
        </w:rPr>
        <w:t xml:space="preserve">./,</w:t>
      </w:r>
      <w:r>
        <w:rPr>
          <w:i/>
          <w:iCs/>
          <w:vertAlign w:val="subscript"/>
        </w:rPr>
        <w:t xml:space="preserve">,</w:t>
      </w:r>
      <w:r>
        <w:rPr>
          <w:vertAlign w:val="subscript"/>
        </w:rPr>
        <w:t xml:space="preserve">,_ _</w:t>
      </w:r>
      <w:r>
        <w:rPr>
          <w:vertAlign w:val="subscript"/>
        </w:rPr>
        <w:t xml:space="preserve"> </w:t>
      </w:r>
      <w:r>
        <w:t xml:space="preserve"> </w:t>
      </w:r>
      <w:r>
        <w:t xml:space="preserve">J d A-. ;z~ I u~P/7’</w:t>
      </w:r>
      <w:r>
        <w:t xml:space="preserve"> </w:t>
      </w:r>
      <w:r>
        <w:t xml:space="preserve">v J</w:t>
      </w:r>
      <w:r>
        <w:t xml:space="preserve"> </w:t>
      </w:r>
      <w:r>
        <w:t xml:space="preserve">CONFIDENTIAL</w:t>
      </w:r>
    </w:p>
    <w:p>
      <w:pPr>
        <w:pStyle w:val="BodyText"/>
      </w:pPr>
      <w:r>
        <w:rPr>
          <w:b/>
          <w:bCs/>
        </w:rPr>
        <w:t xml:space="preserve">Table (source:</w:t>
      </w:r>
      <w:r>
        <w:rPr>
          <w:b/>
          <w:bCs/>
        </w:rPr>
        <w:t xml:space="preserve"> </w:t>
      </w:r>
      <w:r>
        <w:rPr>
          <w:rStyle w:val="VerbatimChar"/>
          <w:b/>
          <w:bCs/>
        </w:rPr>
        <w:t xml:space="preserve">module4_extracted/Direct and Competitive Binding of anti-LPA antibodies B3 and LT3114/tables/table_page_1_idx_1.csv</w:t>
      </w:r>
      <w:r>
        <w:rPr>
          <w:b/>
          <w:bCs/>
        </w:rPr>
        <w:t xml:space="preserve">)</w:t>
      </w:r>
    </w:p>
    <w:p>
      <w:pPr>
        <w:pStyle w:val="BodyText"/>
      </w:pPr>
      <w:r>
        <w:t xml:space="preserve">·:Lpath</w:t>
      </w:r>
      <w:r>
        <w:t xml:space="preserve"> </w:t>
      </w:r>
      <w:r>
        <w:t xml:space="preserve">CONTROLLED FORM</w:t>
      </w:r>
      <w:r>
        <w:t xml:space="preserve"> </w:t>
      </w:r>
      <w:r>
        <w:t xml:space="preserve">INCORPORAT I P</w:t>
      </w:r>
    </w:p>
    <w:p>
      <w:pPr>
        <w:pStyle w:val="BodyText"/>
      </w:pPr>
      <w:r>
        <w:t xml:space="preserve">TITLE: GXP and Non-GXP Study Report Review and Approval Fonn</w:t>
      </w:r>
    </w:p>
    <w:p>
      <w:pPr>
        <w:pStyle w:val="BodyText"/>
      </w:pPr>
      <w:r>
        <w:t xml:space="preserve">DOCUMENT NO. VERSION ISSUE DATE EFFECTIVE DATE PAGE</w:t>
      </w:r>
      <w:r>
        <w:t xml:space="preserve">003FM01 I 02 I 17 Oct 2014 I 20 Oct 2014 I 2 of2</w:t>
      </w:r>
    </w:p>
    <w:p>
      <w:pPr>
        <w:pStyle w:val="BodyText"/>
      </w:pPr>
      <w:r>
        <w:rPr>
          <w:b/>
          <w:bCs/>
        </w:rPr>
        <w:t xml:space="preserve">Table (source:</w:t>
      </w:r>
      <w:r>
        <w:rPr>
          <w:b/>
          <w:bCs/>
        </w:rPr>
        <w:t xml:space="preserve"> </w:t>
      </w:r>
      <w:r>
        <w:rPr>
          <w:rStyle w:val="VerbatimChar"/>
          <w:b/>
          <w:bCs/>
        </w:rPr>
        <w:t xml:space="preserve">module4_extracted/Direct and Competitive Binding of anti-LPA antibodies B3 and LT3114/tables/table_page_1_idx_2.csv</w:t>
      </w:r>
      <w:r>
        <w:rPr>
          <w:b/>
          <w:bCs/>
        </w:rPr>
        <w:t xml:space="preserve">)</w:t>
      </w:r>
    </w:p>
    <w:p>
      <w:pPr>
        <w:pStyle w:val="BodyText"/>
      </w:pPr>
      <w:r>
        <w:t xml:space="preserve">o vendor Study Protocol O vendor Study Report [{] Lpath Study Report</w:t>
      </w:r>
    </w:p>
    <w:p>
      <w:pPr>
        <w:pStyle w:val="BodyText"/>
      </w:pPr>
      <w:r>
        <w:t xml:space="preserve">None</w:t>
      </w:r>
    </w:p>
    <w:p>
      <w:pPr>
        <w:pStyle w:val="BodyText"/>
      </w:pPr>
      <w:r>
        <w:t xml:space="preserve">None</w:t>
      </w:r>
    </w:p>
    <w:p>
      <w:pPr>
        <w:pStyle w:val="BodyText"/>
      </w:pPr>
      <w:r>
        <w:t xml:space="preserve">None</w:t>
      </w:r>
    </w:p>
    <w:p>
      <w:pPr>
        <w:pStyle w:val="BodyText"/>
      </w:pPr>
      <w:r>
        <w:t xml:space="preserve">None</w:t>
      </w:r>
    </w:p>
    <w:p>
      <w:pPr>
        <w:pStyle w:val="BodyText"/>
      </w:pPr>
      <w:r>
        <w:t xml:space="preserve">None</w:t>
      </w:r>
    </w:p>
    <w:p>
      <w:pPr>
        <w:pStyle w:val="BodyText"/>
      </w:pPr>
      <w:r>
        <w:t xml:space="preserve">None</w:t>
      </w:r>
    </w:p>
    <w:p>
      <w:pPr>
        <w:pStyle w:val="BodyText"/>
      </w:pPr>
      <w:r>
        <w:t xml:space="preserve">None</w:t>
      </w:r>
    </w:p>
    <w:p>
      <w:pPr>
        <w:pStyle w:val="BodyText"/>
      </w:pPr>
      <w:r>
        <w:t xml:space="preserve">None</w:t>
      </w:r>
    </w:p>
    <w:p>
      <w:pPr>
        <w:pStyle w:val="BodyText"/>
      </w:pPr>
      <w:r>
        <w:t xml:space="preserve">None</w:t>
      </w:r>
    </w:p>
    <w:p>
      <w:pPr>
        <w:pStyle w:val="BodyText"/>
      </w:pPr>
      <w:r>
        <w:t xml:space="preserve">Lpath Study No.: LT 3114-PHA-016-R</w:t>
      </w:r>
    </w:p>
    <w:p>
      <w:pPr>
        <w:pStyle w:val="BodyText"/>
      </w:pPr>
      <w:r>
        <w:t xml:space="preserve">None</w:t>
      </w:r>
    </w:p>
    <w:p>
      <w:pPr>
        <w:pStyle w:val="BodyText"/>
      </w:pPr>
      <w:r>
        <w:t xml:space="preserve">Version No.: 0/</w:t>
      </w:r>
    </w:p>
    <w:p>
      <w:pPr>
        <w:pStyle w:val="BodyText"/>
      </w:pPr>
      <w:r>
        <w:t xml:space="preserve">None</w:t>
      </w:r>
    </w:p>
    <w:p>
      <w:pPr>
        <w:pStyle w:val="BodyText"/>
      </w:pPr>
      <w:r>
        <w:t xml:space="preserve">None</w:t>
      </w:r>
    </w:p>
    <w:p>
      <w:pPr>
        <w:pStyle w:val="BodyText"/>
      </w:pPr>
      <w:r>
        <w:t xml:space="preserve">—-,\n{Non GXP</w:t>
      </w:r>
      <w:r>
        <w:t xml:space="preserve">=</w:t>
      </w:r>
      <w:r>
        <w:t xml:space="preserve">—’ GCP</w:t>
      </w:r>
    </w:p>
    <w:p>
      <w:pPr>
        <w:pStyle w:val="BodyText"/>
      </w:pPr>
      <w:r>
        <w:t xml:space="preserve">None</w:t>
      </w:r>
    </w:p>
    <w:p>
      <w:pPr>
        <w:pStyle w:val="BodyText"/>
      </w:pPr>
      <w:r>
        <w:t xml:space="preserve">None</w:t>
      </w:r>
    </w:p>
    <w:p>
      <w:pPr>
        <w:pStyle w:val="BodyText"/>
      </w:pPr>
      <w:r>
        <w:t xml:space="preserve">=</w:t>
      </w:r>
    </w:p>
    <w:p>
      <w:pPr>
        <w:pStyle w:val="BodyText"/>
      </w:pPr>
      <w:r>
        <w:t xml:space="preserve">GLP</w:t>
      </w:r>
    </w:p>
    <w:p>
      <w:pPr>
        <w:pStyle w:val="BodyText"/>
      </w:pPr>
      <w:r>
        <w:t xml:space="preserve">Product Name: L T3114</w:t>
      </w:r>
    </w:p>
    <w:p>
      <w:pPr>
        <w:pStyle w:val="BodyText"/>
      </w:pPr>
      <w:r>
        <w:t xml:space="preserve">None</w:t>
      </w:r>
    </w:p>
    <w:p>
      <w:pPr>
        <w:pStyle w:val="BodyText"/>
      </w:pPr>
      <w:r>
        <w:t xml:space="preserve">Test Article: 83; LT 3114</w:t>
      </w:r>
    </w:p>
    <w:p>
      <w:pPr>
        <w:pStyle w:val="BodyText"/>
      </w:pPr>
      <w:r>
        <w:t xml:space="preserve">None</w:t>
      </w:r>
    </w:p>
    <w:p>
      <w:pPr>
        <w:pStyle w:val="BodyText"/>
      </w:pPr>
      <w:r>
        <w:t xml:space="preserve">None</w:t>
      </w:r>
    </w:p>
    <w:p>
      <w:pPr>
        <w:pStyle w:val="BodyText"/>
      </w:pPr>
      <w:r>
        <w:t xml:space="preserve">None</w:t>
      </w:r>
    </w:p>
    <w:p>
      <w:pPr>
        <w:pStyle w:val="BodyText"/>
      </w:pPr>
      <w:r>
        <w:t xml:space="preserve">None</w:t>
      </w:r>
    </w:p>
    <w:p>
      <w:pPr>
        <w:pStyle w:val="BodyText"/>
      </w:pPr>
      <w:r>
        <w:t xml:space="preserve">None</w:t>
      </w:r>
    </w:p>
    <w:p>
      <w:pPr>
        <w:pStyle w:val="BodyText"/>
      </w:pPr>
      <w:r>
        <w:t xml:space="preserve">None</w:t>
      </w:r>
    </w:p>
    <w:p>
      <w:pPr>
        <w:pStyle w:val="BodyText"/>
      </w:pPr>
      <w:r>
        <w:t xml:space="preserve">None</w:t>
      </w:r>
    </w:p>
    <w:p>
      <w:pPr>
        <w:pStyle w:val="BodyText"/>
      </w:pPr>
      <w:r>
        <w:t xml:space="preserve">Study Title: Direct and competitive binding of anti-LPA antibodies 83 and LT 3114</w:t>
      </w:r>
    </w:p>
    <w:p>
      <w:pPr>
        <w:pStyle w:val="BodyText"/>
      </w:pPr>
      <w:r>
        <w:t xml:space="preserve">None</w:t>
      </w:r>
    </w:p>
    <w:p>
      <w:pPr>
        <w:pStyle w:val="BodyText"/>
      </w:pPr>
      <w:r>
        <w:t xml:space="preserve">None</w:t>
      </w:r>
    </w:p>
    <w:p>
      <w:pPr>
        <w:pStyle w:val="BodyText"/>
      </w:pPr>
      <w:r>
        <w:t xml:space="preserve">None</w:t>
      </w:r>
    </w:p>
    <w:p>
      <w:pPr>
        <w:pStyle w:val="BodyText"/>
      </w:pPr>
      <w:r>
        <w:t xml:space="preserve">None</w:t>
      </w:r>
    </w:p>
    <w:p>
      <w:pPr>
        <w:pStyle w:val="BodyText"/>
      </w:pPr>
      <w:r>
        <w:t xml:space="preserve">None</w:t>
      </w:r>
    </w:p>
    <w:p>
      <w:pPr>
        <w:pStyle w:val="BodyText"/>
      </w:pPr>
      <w:r>
        <w:t xml:space="preserve">None</w:t>
      </w:r>
    </w:p>
    <w:p>
      <w:pPr>
        <w:pStyle w:val="BodyText"/>
      </w:pPr>
      <w:r>
        <w:t xml:space="preserve">None</w:t>
      </w:r>
    </w:p>
    <w:p>
      <w:pPr>
        <w:pStyle w:val="BodyText"/>
      </w:pPr>
      <w:r>
        <w:t xml:space="preserve">None</w:t>
      </w:r>
    </w:p>
    <w:p>
      <w:pPr>
        <w:pStyle w:val="BodyText"/>
      </w:pPr>
      <w:r>
        <w:t xml:space="preserve">None</w:t>
      </w:r>
    </w:p>
    <w:p>
      <w:pPr>
        <w:pStyle w:val="BodyText"/>
      </w:pPr>
      <w:r>
        <w:t xml:space="preserve">Study Vendor/Site: U NJA I Study Director: UN/A I Study Contributor(s): U NJA</w:t>
      </w:r>
      <w:r>
        <w:t xml:space="preserve">Rosalia Matteo Kelli Moreno</w:t>
      </w:r>
    </w:p>
    <w:p>
      <w:pPr>
        <w:pStyle w:val="BodyText"/>
      </w:pPr>
      <w:r>
        <w:t xml:space="preserve">None</w:t>
      </w:r>
    </w:p>
    <w:p>
      <w:pPr>
        <w:pStyle w:val="BodyText"/>
      </w:pPr>
      <w:r>
        <w:t xml:space="preserve">None</w:t>
      </w:r>
    </w:p>
    <w:p>
      <w:pPr>
        <w:pStyle w:val="BodyText"/>
      </w:pPr>
      <w:r>
        <w:t xml:space="preserve">None</w:t>
      </w:r>
    </w:p>
    <w:p>
      <w:pPr>
        <w:pStyle w:val="BodyText"/>
      </w:pPr>
      <w:r>
        <w:t xml:space="preserve">None</w:t>
      </w:r>
    </w:p>
    <w:p>
      <w:pPr>
        <w:pStyle w:val="BodyText"/>
      </w:pPr>
      <w:r>
        <w:t xml:space="preserve">None</w:t>
      </w:r>
    </w:p>
    <w:p>
      <w:pPr>
        <w:pStyle w:val="BodyText"/>
      </w:pPr>
      <w:r>
        <w:t xml:space="preserve">None</w:t>
      </w:r>
    </w:p>
    <w:p>
      <w:pPr>
        <w:pStyle w:val="BodyText"/>
      </w:pPr>
      <w:r>
        <w:t xml:space="preserve">None</w:t>
      </w:r>
    </w:p>
    <w:p>
      <w:pPr>
        <w:pStyle w:val="BodyText"/>
      </w:pPr>
      <w:r>
        <w:t xml:space="preserve">None</w:t>
      </w:r>
    </w:p>
    <w:p>
      <w:pPr>
        <w:pStyle w:val="BodyText"/>
      </w:pPr>
      <w:r>
        <w:t xml:space="preserve">None</w:t>
      </w:r>
    </w:p>
    <w:p>
      <w:pPr>
        <w:pStyle w:val="BodyText"/>
      </w:pPr>
      <w:r>
        <w:t xml:space="preserve">Vendor Study No.Nersion: [{]NjA</w:t>
      </w:r>
    </w:p>
    <w:p>
      <w:pPr>
        <w:pStyle w:val="BodyText"/>
      </w:pPr>
      <w:r>
        <w:t xml:space="preserve">None</w:t>
      </w:r>
    </w:p>
    <w:p>
      <w:pPr>
        <w:pStyle w:val="BodyText"/>
      </w:pPr>
      <w:r>
        <w:t xml:space="preserve">None</w:t>
      </w:r>
    </w:p>
    <w:p>
      <w:pPr>
        <w:pStyle w:val="BodyText"/>
      </w:pPr>
      <w:r>
        <w:t xml:space="preserve">Study Dates:</w:t>
      </w:r>
    </w:p>
    <w:p>
      <w:pPr>
        <w:pStyle w:val="BodyText"/>
      </w:pPr>
      <w:r>
        <w:t xml:space="preserve">None</w:t>
      </w:r>
    </w:p>
    <w:p>
      <w:pPr>
        <w:pStyle w:val="BodyText"/>
      </w:pPr>
      <w:r>
        <w:t xml:space="preserve">None</w:t>
      </w:r>
    </w:p>
    <w:p>
      <w:pPr>
        <w:pStyle w:val="BodyText"/>
      </w:pPr>
      <w:r>
        <w:t xml:space="preserve">Report Date:</w:t>
      </w:r>
    </w:p>
    <w:p>
      <w:pPr>
        <w:pStyle w:val="BodyText"/>
      </w:pPr>
      <w:r>
        <w:t xml:space="preserve">None</w:t>
      </w:r>
    </w:p>
    <w:p>
      <w:pPr>
        <w:pStyle w:val="BodyText"/>
      </w:pPr>
      <w:r>
        <w:t xml:space="preserve">None</w:t>
      </w:r>
    </w:p>
    <w:p>
      <w:pPr>
        <w:pStyle w:val="BodyText"/>
      </w:pPr>
      <w:r>
        <w:t xml:space="preserve">None</w:t>
      </w:r>
    </w:p>
    <w:p>
      <w:pPr>
        <w:pStyle w:val="BodyText"/>
      </w:pPr>
      <w:r>
        <w:t xml:space="preserve">Lab Notebook Reference: LNB#312, pp5-6; LNB#301, pp102-103; LNB#220, p81 QJ/A</w:t>
      </w:r>
    </w:p>
    <w:p>
      <w:pPr>
        <w:pStyle w:val="BodyText"/>
      </w:pPr>
      <w:r>
        <w:t xml:space="preserve">None</w:t>
      </w:r>
    </w:p>
    <w:p>
      <w:pPr>
        <w:pStyle w:val="BodyText"/>
      </w:pPr>
      <w:r>
        <w:t xml:space="preserve">None</w:t>
      </w:r>
    </w:p>
    <w:p>
      <w:pPr>
        <w:pStyle w:val="BodyText"/>
      </w:pPr>
      <w:r>
        <w:t xml:space="preserve">None</w:t>
      </w:r>
    </w:p>
    <w:p>
      <w:pPr>
        <w:pStyle w:val="BodyText"/>
      </w:pPr>
      <w:r>
        <w:t xml:space="preserve">None</w:t>
      </w:r>
    </w:p>
    <w:p>
      <w:pPr>
        <w:pStyle w:val="BodyText"/>
      </w:pPr>
      <w:r>
        <w:t xml:space="preserve">None</w:t>
      </w:r>
    </w:p>
    <w:p>
      <w:pPr>
        <w:pStyle w:val="BodyText"/>
      </w:pPr>
      <w:r>
        <w:t xml:space="preserve">None</w:t>
      </w:r>
    </w:p>
    <w:p>
      <w:pPr>
        <w:pStyle w:val="BodyText"/>
      </w:pPr>
      <w:r>
        <w:t xml:space="preserve">None</w:t>
      </w:r>
    </w:p>
    <w:p>
      <w:pPr>
        <w:pStyle w:val="BodyText"/>
      </w:pPr>
      <w:r>
        <w:t xml:space="preserve">None</w:t>
      </w:r>
    </w:p>
    <w:p>
      <w:pPr>
        <w:pStyle w:val="BodyText"/>
      </w:pPr>
      <w:r>
        <w:t xml:space="preserve">None</w:t>
      </w:r>
    </w:p>
    <w:p>
      <w:pPr>
        <w:pStyle w:val="BodyText"/>
      </w:pPr>
      <w:r>
        <w:t xml:space="preserve">Executive summary of study results: O see Attached UN/A</w:t>
      </w:r>
      <w:r>
        <w:t xml:space="preserve">has developed murine and humanized monoclonal antibodies targeting LPA. This report covers development of</w:t>
      </w:r>
      <w:r>
        <w:t xml:space="preserve">methods that are both sensitive and specific for Acyl chain LPA isoforms. The Ki of both the murine and</w:t>
      </w:r>
      <w:r>
        <w:t xml:space="preserve">antibodies range from 15.8 nM to 986nM for all of the isoforms tested</w:t>
      </w:r>
      <w:r>
        <w:t xml:space="preserve">:I AJ&gt;PROVAL</w:t>
      </w:r>
    </w:p>
    <w:p>
      <w:pPr>
        <w:pStyle w:val="BodyText"/>
      </w:pPr>
      <w:r>
        <w:t xml:space="preserve">None</w:t>
      </w:r>
    </w:p>
    <w:p>
      <w:pPr>
        <w:pStyle w:val="BodyText"/>
      </w:pPr>
      <w:r>
        <w:t xml:space="preserve">None</w:t>
      </w:r>
    </w:p>
    <w:p>
      <w:pPr>
        <w:pStyle w:val="BodyText"/>
      </w:pPr>
      <w:r>
        <w:t xml:space="preserve">None</w:t>
      </w:r>
    </w:p>
    <w:p>
      <w:pPr>
        <w:pStyle w:val="BodyText"/>
      </w:pPr>
      <w:r>
        <w:t xml:space="preserve">None</w:t>
      </w:r>
    </w:p>
    <w:p>
      <w:pPr>
        <w:pStyle w:val="BodyText"/>
      </w:pPr>
      <w:r>
        <w:t xml:space="preserve">None</w:t>
      </w:r>
    </w:p>
    <w:p>
      <w:pPr>
        <w:pStyle w:val="BodyText"/>
      </w:pPr>
      <w:r>
        <w:t xml:space="preserve">None</w:t>
      </w:r>
    </w:p>
    <w:p>
      <w:pPr>
        <w:pStyle w:val="BodyText"/>
      </w:pPr>
      <w:r>
        <w:t xml:space="preserve">None</w:t>
      </w:r>
    </w:p>
    <w:p>
      <w:pPr>
        <w:pStyle w:val="BodyText"/>
      </w:pPr>
      <w:r>
        <w:t xml:space="preserve">None</w:t>
      </w:r>
    </w:p>
    <w:p>
      <w:pPr>
        <w:pStyle w:val="BodyText"/>
      </w:pPr>
      <w:r>
        <w:t xml:space="preserve">None</w:t>
      </w:r>
    </w:p>
    <w:p>
      <w:pPr>
        <w:pStyle w:val="BodyText"/>
      </w:pPr>
      <w:r>
        <w:t xml:space="preserve">Function</w:t>
      </w:r>
    </w:p>
    <w:p>
      <w:pPr>
        <w:pStyle w:val="BodyText"/>
      </w:pPr>
      <w:r>
        <w:t xml:space="preserve">Name (Print)</w:t>
      </w:r>
    </w:p>
    <w:p>
      <w:pPr>
        <w:pStyle w:val="BodyText"/>
      </w:pPr>
      <w:r>
        <w:t xml:space="preserve">None</w:t>
      </w:r>
    </w:p>
    <w:p>
      <w:pPr>
        <w:pStyle w:val="BodyText"/>
      </w:pPr>
      <w:r>
        <w:t xml:space="preserve">None</w:t>
      </w:r>
    </w:p>
    <w:p>
      <w:pPr>
        <w:pStyle w:val="BodyText"/>
      </w:pPr>
      <w:r>
        <w:t xml:space="preserve">Signature</w:t>
      </w:r>
    </w:p>
    <w:p>
      <w:pPr>
        <w:pStyle w:val="BodyText"/>
      </w:pPr>
      <w:r>
        <w:t xml:space="preserve">None</w:t>
      </w:r>
    </w:p>
    <w:p>
      <w:pPr>
        <w:pStyle w:val="BodyText"/>
      </w:pPr>
      <w:r>
        <w:t xml:space="preserve">None</w:t>
      </w:r>
    </w:p>
    <w:p>
      <w:pPr>
        <w:pStyle w:val="BodyText"/>
      </w:pPr>
      <w:r>
        <w:t xml:space="preserve">Date</w:t>
      </w:r>
    </w:p>
    <w:p>
      <w:pPr>
        <w:pStyle w:val="BodyText"/>
      </w:pPr>
      <w:r>
        <w:t xml:space="preserve">None</w:t>
      </w:r>
    </w:p>
    <w:p>
      <w:pPr>
        <w:pStyle w:val="BodyText"/>
      </w:pPr>
      <w:r>
        <w:t xml:space="preserve">None</w:t>
      </w:r>
    </w:p>
    <w:p>
      <w:pPr>
        <w:pStyle w:val="BodyText"/>
      </w:pPr>
      <w:r>
        <w:t xml:space="preserve">Study Director/Monitor</w:t>
      </w:r>
    </w:p>
    <w:p>
      <w:pPr>
        <w:pStyle w:val="BodyText"/>
      </w:pPr>
      <w:r>
        <w:t xml:space="preserve">\2.n &lt;..a I Cl.- M a .:tr r o</w:t>
      </w:r>
    </w:p>
    <w:p>
      <w:pPr>
        <w:pStyle w:val="BodyText"/>
      </w:pPr>
      <w:r>
        <w:t xml:space="preserve">None</w:t>
      </w:r>
    </w:p>
    <w:p>
      <w:pPr>
        <w:pStyle w:val="BodyText"/>
      </w:pPr>
      <w:r>
        <w:t xml:space="preserve">None</w:t>
      </w:r>
    </w:p>
    <w:p>
      <w:pPr>
        <w:pStyle w:val="BodyText"/>
      </w:pPr>
      <w:r>
        <w:t xml:space="preserve">( ~Ytd.J-&lt;_–c)J-</w:t>
      </w:r>
    </w:p>
    <w:p>
      <w:pPr>
        <w:pStyle w:val="BodyText"/>
      </w:pPr>
      <w:r>
        <w:t xml:space="preserve">None</w:t>
      </w:r>
    </w:p>
    <w:p>
      <w:pPr>
        <w:pStyle w:val="BodyText"/>
      </w:pPr>
      <w:r>
        <w:t xml:space="preserve">None</w:t>
      </w:r>
    </w:p>
    <w:p>
      <w:pPr>
        <w:pStyle w:val="BodyText"/>
      </w:pPr>
      <w:r>
        <w:t xml:space="preserve">It f r ~ ). “). oll.f</w:t>
      </w:r>
    </w:p>
    <w:p>
      <w:pPr>
        <w:pStyle w:val="BodyText"/>
      </w:pPr>
      <w:r>
        <w:t xml:space="preserve">None</w:t>
      </w:r>
    </w:p>
    <w:p>
      <w:pPr>
        <w:pStyle w:val="BodyText"/>
      </w:pPr>
      <w:r>
        <w:t xml:space="preserve">None</w:t>
      </w:r>
    </w:p>
    <w:p>
      <w:pPr>
        <w:pStyle w:val="BodyText"/>
      </w:pPr>
      <w:r>
        <w:t xml:space="preserve">Contributor</w:t>
      </w:r>
    </w:p>
    <w:p>
      <w:pPr>
        <w:pStyle w:val="BodyText"/>
      </w:pPr>
      <w:r>
        <w:t xml:space="preserve">tJA-</w:t>
      </w:r>
    </w:p>
    <w:p>
      <w:pPr>
        <w:pStyle w:val="BodyText"/>
      </w:pPr>
      <w:r>
        <w:t xml:space="preserve">None</w:t>
      </w:r>
    </w:p>
    <w:p>
      <w:pPr>
        <w:pStyle w:val="BodyText"/>
      </w:pPr>
      <w:r>
        <w:t xml:space="preserve">None</w:t>
      </w:r>
    </w:p>
    <w:p>
      <w:pPr>
        <w:pStyle w:val="BodyText"/>
      </w:pPr>
      <w:r>
        <w:t xml:space="preserve">_.—; tJ~</w:t>
      </w:r>
    </w:p>
    <w:p>
      <w:pPr>
        <w:pStyle w:val="BodyText"/>
      </w:pPr>
      <w:r>
        <w:t xml:space="preserve">None</w:t>
      </w:r>
    </w:p>
    <w:p>
      <w:pPr>
        <w:pStyle w:val="BodyText"/>
      </w:pPr>
      <w:r>
        <w:t xml:space="preserve">None</w:t>
      </w:r>
    </w:p>
    <w:p>
      <w:pPr>
        <w:pStyle w:val="BodyText"/>
      </w:pPr>
      <w:r>
        <w:t xml:space="preserve">tft:) It /7, ’1-/?c:.iY</w:t>
      </w:r>
    </w:p>
    <w:p>
      <w:pPr>
        <w:pStyle w:val="BodyText"/>
      </w:pPr>
      <w:r>
        <w:t xml:space="preserve">None</w:t>
      </w:r>
    </w:p>
    <w:p>
      <w:pPr>
        <w:pStyle w:val="BodyText"/>
      </w:pPr>
      <w:r>
        <w:t xml:space="preserve">None</w:t>
      </w:r>
    </w:p>
    <w:p>
      <w:pPr>
        <w:pStyle w:val="BodyText"/>
      </w:pPr>
      <w:r>
        <w:t xml:space="preserve">Research</w:t>
      </w:r>
    </w:p>
    <w:p>
      <w:pPr>
        <w:pStyle w:val="BodyText"/>
      </w:pPr>
      <w:r>
        <w:t xml:space="preserve">CiA-Je’1 ~</w:t>
      </w:r>
      <w:r>
        <w:t xml:space="preserve">,. fttt;lrl,.,.,’tJo</w:t>
      </w:r>
    </w:p>
    <w:p>
      <w:pPr>
        <w:pStyle w:val="BodyText"/>
      </w:pPr>
      <w:r>
        <w:t xml:space="preserve">None</w:t>
      </w:r>
    </w:p>
    <w:p>
      <w:pPr>
        <w:pStyle w:val="BodyText"/>
      </w:pPr>
      <w:r>
        <w:t xml:space="preserve">None</w:t>
      </w:r>
    </w:p>
    <w:p>
      <w:pPr>
        <w:pStyle w:val="BodyText"/>
      </w:pPr>
      <w:r>
        <w:t xml:space="preserve">~~ a _n )A-</w:t>
      </w:r>
    </w:p>
    <w:p>
      <w:pPr>
        <w:pStyle w:val="BodyText"/>
      </w:pPr>
      <w:r>
        <w:t xml:space="preserve">None</w:t>
      </w:r>
    </w:p>
    <w:p>
      <w:pPr>
        <w:pStyle w:val="BodyText"/>
      </w:pPr>
      <w:r>
        <w:t xml:space="preserve">None</w:t>
      </w:r>
    </w:p>
    <w:p>
      <w:pPr>
        <w:pStyle w:val="BodyText"/>
      </w:pPr>
      <w:r>
        <w:t xml:space="preserve">II If g, I u l’f’</w:t>
      </w:r>
      <w:r>
        <w:t xml:space="preserve">/</w:t>
      </w:r>
      <w:r>
        <w:t xml:space="preserve">/lf/Z0!2_</w:t>
      </w:r>
    </w:p>
    <w:p>
      <w:pPr>
        <w:pStyle w:val="BodyText"/>
      </w:pPr>
      <w:r>
        <w:t xml:space="preserve">None</w:t>
      </w:r>
    </w:p>
    <w:p>
      <w:pPr>
        <w:pStyle w:val="BodyText"/>
      </w:pPr>
      <w:r>
        <w:t xml:space="preserve">None</w:t>
      </w:r>
    </w:p>
    <w:p>
      <w:pPr>
        <w:pStyle w:val="BodyText"/>
      </w:pPr>
      <w:r>
        <w:t xml:space="preserve">Development</w:t>
      </w:r>
    </w:p>
    <w:p>
      <w:pPr>
        <w:pStyle w:val="BodyText"/>
      </w:pPr>
      <w:r>
        <w:t xml:space="preserve">None</w:t>
      </w:r>
    </w:p>
    <w:p>
      <w:pPr>
        <w:pStyle w:val="BodyText"/>
      </w:pPr>
      <w:r>
        <w:t xml:space="preserve">None</w:t>
      </w:r>
    </w:p>
    <w:p>
      <w:pPr>
        <w:pStyle w:val="BodyText"/>
      </w:pPr>
      <w:r>
        <w:t xml:space="preserve">None</w:t>
      </w:r>
    </w:p>
    <w:p>
      <w:pPr>
        <w:pStyle w:val="BodyText"/>
      </w:pPr>
      <w:r>
        <w:t xml:space="preserve">&amp;&gt;7</w:t>
      </w:r>
      <w:r>
        <w:t xml:space="preserve">~</w:t>
      </w:r>
    </w:p>
    <w:p>
      <w:pPr>
        <w:pStyle w:val="BodyText"/>
      </w:pPr>
      <w:r>
        <w:t xml:space="preserve">None</w:t>
      </w:r>
    </w:p>
    <w:p>
      <w:pPr>
        <w:pStyle w:val="BodyText"/>
      </w:pPr>
      <w:r>
        <w:t xml:space="preserve">None</w:t>
      </w:r>
    </w:p>
    <w:p>
      <w:pPr>
        <w:pStyle w:val="BodyText"/>
      </w:pPr>
      <w:r>
        <w:t xml:space="preserve">None</w:t>
      </w:r>
    </w:p>
    <w:p>
      <w:pPr>
        <w:pStyle w:val="BodyText"/>
      </w:pPr>
      <w:r>
        <w:t xml:space="preserve">None</w:t>
      </w:r>
    </w:p>
    <w:p>
      <w:pPr>
        <w:pStyle w:val="BodyText"/>
      </w:pPr>
      <w:r>
        <w:t xml:space="preserve">None</w:t>
      </w:r>
    </w:p>
    <w:p>
      <w:pPr>
        <w:pStyle w:val="BodyText"/>
      </w:pPr>
      <w:r>
        <w:t xml:space="preserve">Quality Assurance</w:t>
      </w:r>
    </w:p>
    <w:p>
      <w:pPr>
        <w:pStyle w:val="BodyText"/>
      </w:pPr>
      <w:r>
        <w:t xml:space="preserve">R ht// /lA Ml9r2tfl.V</w:t>
      </w:r>
    </w:p>
    <w:p>
      <w:pPr>
        <w:pStyle w:val="BodyText"/>
      </w:pPr>
      <w:r>
        <w:t xml:space="preserve">None</w:t>
      </w:r>
    </w:p>
    <w:p>
      <w:pPr>
        <w:pStyle w:val="BodyText"/>
      </w:pPr>
      <w:r>
        <w:t xml:space="preserve">None</w:t>
      </w:r>
    </w:p>
    <w:p>
      <w:pPr>
        <w:pStyle w:val="BodyText"/>
      </w:pPr>
      <w:r>
        <w:t xml:space="preserve">&amp;’2-</w:t>
      </w:r>
      <w:r>
        <w:t xml:space="preserve"> </w:t>
      </w:r>
      <w:r>
        <w:rPr>
          <w:vertAlign w:val="subscript"/>
        </w:rPr>
        <w:t xml:space="preserve">./,</w:t>
      </w:r>
      <w:r>
        <w:rPr>
          <w:i/>
          <w:iCs/>
          <w:vertAlign w:val="subscript"/>
        </w:rPr>
        <w:t xml:space="preserve">,</w:t>
      </w:r>
      <w:r>
        <w:rPr>
          <w:vertAlign w:val="subscript"/>
        </w:rPr>
        <w:t xml:space="preserve">,_ _</w:t>
      </w:r>
      <w:r>
        <w:rPr>
          <w:vertAlign w:val="subscript"/>
        </w:rPr>
        <w:t xml:space="preserve"> </w:t>
      </w:r>
      <w:r>
        <w:t xml:space="preserve"> </w:t>
      </w:r>
      <w:r>
        <w:t xml:space="preserve">J d A-.</w:t>
      </w:r>
    </w:p>
    <w:p>
      <w:pPr>
        <w:pStyle w:val="BodyText"/>
      </w:pPr>
      <w:r>
        <w:t xml:space="preserve">None</w:t>
      </w:r>
    </w:p>
    <w:p>
      <w:pPr>
        <w:pStyle w:val="BodyText"/>
      </w:pPr>
      <w:r>
        <w:t xml:space="preserve">None</w:t>
      </w:r>
    </w:p>
    <w:p>
      <w:pPr>
        <w:pStyle w:val="BodyText"/>
      </w:pPr>
      <w:r>
        <w:t xml:space="preserve">I</w:t>
      </w:r>
      <w:r>
        <w:t xml:space="preserve">;z</w:t>
      </w:r>
      <w:r>
        <w:rPr>
          <w:vertAlign w:val="subscript"/>
        </w:rPr>
        <w:t xml:space="preserve">u</w:t>
      </w:r>
      <w:r>
        <w:t xml:space="preserve">P/7’</w:t>
      </w:r>
    </w:p>
    <w:p>
      <w:pPr>
        <w:pStyle w:val="BodyText"/>
      </w:pPr>
      <w:r>
        <w:t xml:space="preserve">None</w:t>
      </w:r>
    </w:p>
    <w:p>
      <w:pPr>
        <w:pStyle w:val="BodyText"/>
      </w:pPr>
      <w:r>
        <w:t xml:space="preserve">None</w:t>
      </w:r>
    </w:p>
    <w:p>
      <w:pPr>
        <w:pStyle w:val="CaptionedFigure"/>
      </w:pPr>
      <w:r>
        <w:drawing>
          <wp:inline>
            <wp:extent cx="5334000" cy="6902823"/>
            <wp:effectExtent b="0" l="0" r="0" t="0"/>
            <wp:docPr descr="Image page 1 #1" title="" id="10" name="Picture"/>
            <a:graphic>
              <a:graphicData uri="http://schemas.openxmlformats.org/drawingml/2006/picture">
                <pic:pic>
                  <pic:nvPicPr>
                    <pic:cNvPr descr="module4_extracted/Direct%20and%20Competitive%20Binding%20of%20anti-LPA%20antibodies%20B3%20and%20LT3114/images/image_page_1_idx_1.png" id="11" name="Picture"/>
                    <pic:cNvPicPr>
                      <a:picLocks noChangeArrowheads="1" noChangeAspect="1"/>
                    </pic:cNvPicPr>
                  </pic:nvPicPr>
                  <pic:blipFill>
                    <a:blip r:embed="rId9"/>
                    <a:stretch>
                      <a:fillRect/>
                    </a:stretch>
                  </pic:blipFill>
                  <pic:spPr bwMode="auto">
                    <a:xfrm>
                      <a:off x="0" y="0"/>
                      <a:ext cx="5334000" cy="6902823"/>
                    </a:xfrm>
                    <a:prstGeom prst="rect">
                      <a:avLst/>
                    </a:prstGeom>
                    <a:noFill/>
                    <a:ln w="9525">
                      <a:noFill/>
                      <a:headEnd/>
                      <a:tailEnd/>
                    </a:ln>
                  </pic:spPr>
                </pic:pic>
              </a:graphicData>
            </a:graphic>
          </wp:inline>
        </w:drawing>
      </w:r>
    </w:p>
    <w:p>
      <w:pPr>
        <w:pStyle w:val="ImageCaption"/>
      </w:pPr>
      <w:r>
        <w:t xml:space="preserve">Image page 1 #1</w:t>
      </w:r>
    </w:p>
    <w:p>
      <w:pPr>
        <w:pStyle w:val="CaptionedFigure"/>
      </w:pPr>
      <w:r>
        <w:drawing>
          <wp:inline>
            <wp:extent cx="1727200" cy="660400"/>
            <wp:effectExtent b="0" l="0" r="0" t="0"/>
            <wp:docPr descr="Image page 1 #2" title="" id="13" name="Picture"/>
            <a:graphic>
              <a:graphicData uri="http://schemas.openxmlformats.org/drawingml/2006/picture">
                <pic:pic>
                  <pic:nvPicPr>
                    <pic:cNvPr descr="module4_extracted/Direct%20and%20Competitive%20Binding%20of%20anti-LPA%20antibodies%20B3%20and%20LT3114/images/image_page_1_idx_2.png" id="14" name="Picture"/>
                    <pic:cNvPicPr>
                      <a:picLocks noChangeArrowheads="1" noChangeAspect="1"/>
                    </pic:cNvPicPr>
                  </pic:nvPicPr>
                  <pic:blipFill>
                    <a:blip r:embed="rId12"/>
                    <a:stretch>
                      <a:fillRect/>
                    </a:stretch>
                  </pic:blipFill>
                  <pic:spPr bwMode="auto">
                    <a:xfrm>
                      <a:off x="0" y="0"/>
                      <a:ext cx="1727200" cy="660400"/>
                    </a:xfrm>
                    <a:prstGeom prst="rect">
                      <a:avLst/>
                    </a:prstGeom>
                    <a:noFill/>
                    <a:ln w="9525">
                      <a:noFill/>
                      <a:headEnd/>
                      <a:tailEnd/>
                    </a:ln>
                  </pic:spPr>
                </pic:pic>
              </a:graphicData>
            </a:graphic>
          </wp:inline>
        </w:drawing>
      </w:r>
    </w:p>
    <w:p>
      <w:pPr>
        <w:pStyle w:val="ImageCaption"/>
      </w:pPr>
      <w:r>
        <w:t xml:space="preserve">Image page 1 #2</w:t>
      </w:r>
    </w:p>
    <w:p>
      <w:pPr>
        <w:pStyle w:val="BodyText"/>
      </w:pPr>
      <w:r>
        <w:t xml:space="preserve">REPORT NUMBER: LT3114-PHA-016-R</w:t>
      </w:r>
      <w:r>
        <w:t xml:space="preserve"> </w:t>
      </w:r>
      <w:r>
        <w:t xml:space="preserve">Title: Direct and Competitive Binding of anti-LPA Page 1 of 8</w:t>
      </w:r>
      <w:r>
        <w:t xml:space="preserve"> </w:t>
      </w:r>
      <w:r>
        <w:t xml:space="preserve">antibodies B3 and LT3114</w:t>
      </w:r>
      <w:r>
        <w:t xml:space="preserve"> </w:t>
      </w:r>
      <w:r>
        <w:t xml:space="preserve">Direct and Competitive Binding of anti-LPA antibodies B3 and LT3114</w:t>
      </w:r>
      <w:r>
        <w:t xml:space="preserve"> </w:t>
      </w:r>
      <w:r>
        <w:t xml:space="preserve">Document Type Final Repot</w:t>
      </w:r>
      <w:r>
        <w:t xml:space="preserve"> </w:t>
      </w:r>
      <w:r>
        <w:t xml:space="preserve">Study Monitor Rosalia Matteo</w:t>
      </w:r>
      <w:r>
        <w:t xml:space="preserve"> </w:t>
      </w:r>
      <w:r>
        <w:t xml:space="preserve">Study Director Kelli Moreno</w:t>
      </w:r>
      <w:r>
        <w:t xml:space="preserve"> </w:t>
      </w:r>
      <w:r>
        <w:t xml:space="preserve">Performance Site (s) Lpath</w:t>
      </w:r>
      <w:r>
        <w:t xml:space="preserve"> </w:t>
      </w:r>
      <w:r>
        <w:t xml:space="preserve">Initiation Date 2007</w:t>
      </w:r>
      <w:r>
        <w:t xml:space="preserve"> </w:t>
      </w:r>
      <w:r>
        <w:t xml:space="preserve">Completion Date 2007</w:t>
      </w:r>
      <w:r>
        <w:t xml:space="preserve"> </w:t>
      </w:r>
      <w:r>
        <w:t xml:space="preserve">Date FSR 10-2014 2014</w:t>
      </w:r>
      <w:r>
        <w:t xml:space="preserve"> </w:t>
      </w:r>
      <w:r>
        <w:t xml:space="preserve">GLP, GMP or GCP Non-GLP</w:t>
      </w:r>
      <w:r>
        <w:t xml:space="preserve"> </w:t>
      </w:r>
      <w:r>
        <w:t xml:space="preserve">Number of Pages 8</w:t>
      </w:r>
      <w:r>
        <w:t xml:space="preserve"> </w:t>
      </w:r>
      <w:r>
        <w:t xml:space="preserve">Description Test Article Murine Anti-LPA antibody(B3) and</w:t>
      </w:r>
      <w:r>
        <w:t xml:space="preserve"> </w:t>
      </w:r>
      <w:r>
        <w:t xml:space="preserve">humanized anti-LPA antibody (LT3114)</w:t>
      </w:r>
      <w:r>
        <w:t xml:space="preserve"> </w:t>
      </w:r>
      <w:r>
        <w:t xml:space="preserve">Archive Lpath</w:t>
      </w:r>
      <w:r>
        <w:t xml:space="preserve"> </w:t>
      </w:r>
      <w:r>
        <w:t xml:space="preserve">CONFIDENTIAL</w:t>
      </w:r>
    </w:p>
    <w:p>
      <w:pPr>
        <w:pStyle w:val="BodyText"/>
      </w:pPr>
      <w:r>
        <w:rPr>
          <w:b/>
          <w:bCs/>
        </w:rPr>
        <w:t xml:space="preserve">Table (source:</w:t>
      </w:r>
      <w:r>
        <w:rPr>
          <w:b/>
          <w:bCs/>
        </w:rPr>
        <w:t xml:space="preserve"> </w:t>
      </w:r>
      <w:r>
        <w:rPr>
          <w:rStyle w:val="VerbatimChar"/>
          <w:b/>
          <w:bCs/>
        </w:rPr>
        <w:t xml:space="preserve">module4_extracted/Direct and Competitive Binding of anti-LPA antibodies B3 and LT3114/tables/table_page_2_idx_1.csv</w:t>
      </w:r>
      <w:r>
        <w:rPr>
          <w:b/>
          <w:bCs/>
        </w:rPr>
        <w:t xml:space="preserve">)</w:t>
      </w:r>
    </w:p>
    <w:p>
      <w:pPr>
        <w:pStyle w:val="BodyText"/>
      </w:pPr>
      <w:r>
        <w:t xml:space="preserve">0</w:t>
      </w:r>
    </w:p>
    <w:p>
      <w:pPr>
        <w:pStyle w:val="BodyText"/>
      </w:pPr>
      <w:r>
        <w:t xml:space="preserve">1</w:t>
      </w:r>
    </w:p>
    <w:p>
      <w:pPr>
        <w:pStyle w:val="BodyText"/>
      </w:pPr>
      <w:r>
        <w:t xml:space="preserve">REPORT NUMBER: LT3114-PHA-016-R</w:t>
      </w:r>
      <w:r>
        <w:t xml:space="preserve">: Direct and Competitive Binding of anti-LPA</w:t>
      </w:r>
      <w:r>
        <w:t xml:space="preserve">B3 and LT3114</w:t>
      </w:r>
    </w:p>
    <w:p>
      <w:pPr>
        <w:pStyle w:val="BodyText"/>
      </w:pPr>
      <w:r>
        <w:t xml:space="preserve">Page 1 of 8</w:t>
      </w:r>
    </w:p>
    <w:p>
      <w:pPr>
        <w:pStyle w:val="BodyText"/>
      </w:pPr>
      <w:r>
        <w:t xml:space="preserve">REPORT NUMBER: LT3114-PHA-016-R</w:t>
      </w:r>
      <w:r>
        <w:t xml:space="preserve"> </w:t>
      </w:r>
      <w:r>
        <w:t xml:space="preserve">Title: Direct and Competitive Binding of anti-LPA Page 2 of 8</w:t>
      </w:r>
      <w:r>
        <w:t xml:space="preserve"> </w:t>
      </w:r>
      <w:r>
        <w:t xml:space="preserve">antibodies B3 and LT3114</w:t>
      </w:r>
      <w:r>
        <w:t xml:space="preserve"> </w:t>
      </w:r>
      <w:r>
        <w:t xml:space="preserve">TABLE OF CONTENTS</w:t>
      </w:r>
      <w:r>
        <w:t xml:space="preserve"> </w:t>
      </w:r>
      <w:r>
        <w:t xml:space="preserve">1 SUMMARY ………………………………………………………………………………………………………..3</w:t>
      </w:r>
      <w:r>
        <w:t xml:space="preserve"> </w:t>
      </w:r>
      <w:r>
        <w:t xml:space="preserve">2 INTRODUCTION ……………………………………………………………………………………………….3</w:t>
      </w:r>
      <w:r>
        <w:t xml:space="preserve"> </w:t>
      </w:r>
      <w:r>
        <w:t xml:space="preserve">3 MATERIALS AND METHODS ……………………………………………………………………………4</w:t>
      </w:r>
      <w:r>
        <w:t xml:space="preserve"> </w:t>
      </w:r>
      <w:r>
        <w:t xml:space="preserve">3.1 Test Article and Control……………………………………………………………………………….4</w:t>
      </w:r>
      <w:r>
        <w:t xml:space="preserve"> </w:t>
      </w:r>
      <w:r>
        <w:t xml:space="preserve">3.2 Study Design ………………………………………………………………………………………………4</w:t>
      </w:r>
      <w:r>
        <w:t xml:space="preserve"> </w:t>
      </w:r>
      <w:r>
        <w:t xml:space="preserve">3.3 Direct Binding ELISA …………………………………………………………………………………4</w:t>
      </w:r>
      <w:r>
        <w:t xml:space="preserve"> </w:t>
      </w:r>
      <w:r>
        <w:t xml:space="preserve">3.4 Competition ELISA …………………………………………………………………………………….4</w:t>
      </w:r>
      <w:r>
        <w:t xml:space="preserve"> </w:t>
      </w:r>
      <w:r>
        <w:t xml:space="preserve">3.5 Data Analysis ……………………………………………………………………………………………..5</w:t>
      </w:r>
      <w:r>
        <w:t xml:space="preserve"> </w:t>
      </w:r>
      <w:r>
        <w:t xml:space="preserve">4 RESULTS …………………………………………………………………………………………………………..5</w:t>
      </w:r>
      <w:r>
        <w:t xml:space="preserve"> </w:t>
      </w:r>
      <w:r>
        <w:t xml:space="preserve">5 CONCLUSION ……………………………………………………………………………………………………8</w:t>
      </w:r>
      <w:r>
        <w:t xml:space="preserve"> </w:t>
      </w:r>
      <w:r>
        <w:t xml:space="preserve">6 DATA ARCHIVE ………………………………………………………………………………………………..8</w:t>
      </w:r>
      <w:r>
        <w:t xml:space="preserve"> </w:t>
      </w:r>
      <w:r>
        <w:t xml:space="preserve">LIST OF IN-TEXT TABLES</w:t>
      </w:r>
      <w:r>
        <w:t xml:space="preserve"> </w:t>
      </w:r>
      <w:r>
        <w:t xml:space="preserve">Table 1 The Ki for each antibody binding to native LPA isoforms. …………………….7</w:t>
      </w:r>
      <w:r>
        <w:t xml:space="preserve"> </w:t>
      </w:r>
      <w:r>
        <w:t xml:space="preserve">LIST OF IN-TEXT FIGURES</w:t>
      </w:r>
      <w:r>
        <w:t xml:space="preserve"> </w:t>
      </w:r>
      <w:r>
        <w:t xml:space="preserve">Figure 1. Binding Curves For B3 (A) and LT3114 (B)………………………………………..6</w:t>
      </w:r>
      <w:r>
        <w:t xml:space="preserve"> </w:t>
      </w:r>
      <w:r>
        <w:t xml:space="preserve">Figure 2 Affinity of anti-LPA antibodies for various LPA isoforms. Affinities</w:t>
      </w:r>
      <w:r>
        <w:t xml:space="preserve"> </w:t>
      </w:r>
      <w:r>
        <w:t xml:space="preserve">of the antibodies for native 16:0, 18:0, 18:1, 18:2, and 20:4 were</w:t>
      </w:r>
      <w:r>
        <w:t xml:space="preserve"> </w:t>
      </w:r>
      <w:r>
        <w:t xml:space="preserve">measured in an ELISA-based competition binding assay……………………….7</w:t>
      </w:r>
      <w:r>
        <w:t xml:space="preserve"> </w:t>
      </w:r>
      <w:r>
        <w:t xml:space="preserve">CONFIDENTIAL</w:t>
      </w:r>
    </w:p>
    <w:p>
      <w:pPr>
        <w:pStyle w:val="BodyText"/>
      </w:pPr>
      <w:r>
        <w:rPr>
          <w:b/>
          <w:bCs/>
        </w:rPr>
        <w:t xml:space="preserve">Table (source:</w:t>
      </w:r>
      <w:r>
        <w:rPr>
          <w:b/>
          <w:bCs/>
        </w:rPr>
        <w:t xml:space="preserve"> </w:t>
      </w:r>
      <w:r>
        <w:rPr>
          <w:rStyle w:val="VerbatimChar"/>
          <w:b/>
          <w:bCs/>
        </w:rPr>
        <w:t xml:space="preserve">module4_extracted/Direct and Competitive Binding of anti-LPA antibodies B3 and LT3114/tables/table_page_3_idx_1.csv</w:t>
      </w:r>
      <w:r>
        <w:rPr>
          <w:b/>
          <w:bCs/>
        </w:rPr>
        <w:t xml:space="preserve">)</w:t>
      </w:r>
    </w:p>
    <w:p>
      <w:pPr>
        <w:pStyle w:val="BodyText"/>
      </w:pPr>
      <w:r>
        <w:t xml:space="preserve">0</w:t>
      </w:r>
    </w:p>
    <w:p>
      <w:pPr>
        <w:pStyle w:val="BodyText"/>
      </w:pPr>
      <w:r>
        <w:t xml:space="preserve">1</w:t>
      </w:r>
    </w:p>
    <w:p>
      <w:pPr>
        <w:pStyle w:val="BodyText"/>
      </w:pPr>
      <w:r>
        <w:t xml:space="preserve">REPORT NUMBER: LT3114-PHA-016-R</w:t>
      </w:r>
      <w:r>
        <w:t xml:space="preserve">: Direct and Competitive Binding of anti-LPA</w:t>
      </w:r>
      <w:r>
        <w:t xml:space="preserve">B3 and LT3114</w:t>
      </w:r>
    </w:p>
    <w:p>
      <w:pPr>
        <w:pStyle w:val="BodyText"/>
      </w:pPr>
      <w:r>
        <w:t xml:space="preserve">Page 2 of 8</w:t>
      </w:r>
    </w:p>
    <w:p>
      <w:pPr>
        <w:pStyle w:val="BodyText"/>
      </w:pPr>
      <w:r>
        <w:t xml:space="preserve">REPORT NUMBER: LT3114-PHA-016-R</w:t>
      </w:r>
      <w:r>
        <w:t xml:space="preserve"> </w:t>
      </w:r>
      <w:r>
        <w:t xml:space="preserve">Title: Direct and Competitive Binding of anti-LPA Page 3 of 8</w:t>
      </w:r>
      <w:r>
        <w:t xml:space="preserve"> </w:t>
      </w:r>
      <w:r>
        <w:t xml:space="preserve">antibodies B3 and LT3114</w:t>
      </w:r>
      <w:r>
        <w:t xml:space="preserve"> </w:t>
      </w:r>
      <w:r>
        <w:t xml:space="preserve">1 SUMMARY</w:t>
      </w:r>
      <w:r>
        <w:t xml:space="preserve"> </w:t>
      </w:r>
      <w:r>
        <w:t xml:space="preserve">Lpath has developed murine and humanized monoclonal antibodies targeting LPA. This</w:t>
      </w:r>
      <w:r>
        <w:t xml:space="preserve"> </w:t>
      </w:r>
      <w:r>
        <w:t xml:space="preserve">report covers development of ELISA methods that are both sensitive and specific for Acyl</w:t>
      </w:r>
      <w:r>
        <w:t xml:space="preserve"> </w:t>
      </w:r>
      <w:r>
        <w:t xml:space="preserve">chain LPA isoforms. The Ki of both the murine and humanized antibodies range from</w:t>
      </w:r>
      <w:r>
        <w:t xml:space="preserve"> </w:t>
      </w:r>
      <w:r>
        <w:t xml:space="preserve">15.8 nM to 986nM for all of the isoforms tested</w:t>
      </w:r>
      <w:r>
        <w:t xml:space="preserve"> </w:t>
      </w:r>
      <w:r>
        <w:t xml:space="preserve">2 INTRODUCTION</w:t>
      </w:r>
      <w:r>
        <w:t xml:space="preserve"> </w:t>
      </w:r>
      <w:r>
        <w:t xml:space="preserve">Lysophosphatidic acid (LPA) is not a single molecular entity but a collection of structural</w:t>
      </w:r>
      <w:r>
        <w:t xml:space="preserve"> </w:t>
      </w:r>
      <w:r>
        <w:t xml:space="preserve">analogs with a single functional glycerol alcohol phosphate moiety esterified to a variety of</w:t>
      </w:r>
      <w:r>
        <w:t xml:space="preserve"> </w:t>
      </w:r>
      <w:r>
        <w:t xml:space="preserve">fatty acyl hydrocarbons of varied lengths and degrees of saturation. LPA species with both</w:t>
      </w:r>
      <w:r>
        <w:t xml:space="preserve"> </w:t>
      </w:r>
      <w:r>
        <w:t xml:space="preserve">saturated (16:0 and 18:0) and unsaturated fatty acids (16:1, 18:1, 18:2, and 20:4) have been</w:t>
      </w:r>
      <w:r>
        <w:t xml:space="preserve"> </w:t>
      </w:r>
      <w:r>
        <w:t xml:space="preserve">identified in biological fluids with 16:0, 18:1 18:2 and 20:4 LPA being the predominant</w:t>
      </w:r>
      <w:r>
        <w:t xml:space="preserve"> </w:t>
      </w:r>
      <w:r>
        <w:t xml:space="preserve">species. Lpath has generated murine and humanized monoclonal antibodies to</w:t>
      </w:r>
      <w:r>
        <w:t xml:space="preserve"> </w:t>
      </w:r>
      <w:r>
        <w:t xml:space="preserve">lysophosphatidic acid and this report describes data showing that these antibodies bind to all</w:t>
      </w:r>
      <w:r>
        <w:t xml:space="preserve"> </w:t>
      </w:r>
      <w:r>
        <w:t xml:space="preserve">of the relevant isoforms of LPA.</w:t>
      </w:r>
      <w:r>
        <w:t xml:space="preserve"> </w:t>
      </w:r>
      <w:r>
        <w:t xml:space="preserve">CONFIDENTIAL</w:t>
      </w:r>
    </w:p>
    <w:p>
      <w:pPr>
        <w:pStyle w:val="BodyText"/>
      </w:pPr>
      <w:r>
        <w:rPr>
          <w:b/>
          <w:bCs/>
        </w:rPr>
        <w:t xml:space="preserve">Table (source:</w:t>
      </w:r>
      <w:r>
        <w:rPr>
          <w:b/>
          <w:bCs/>
        </w:rPr>
        <w:t xml:space="preserve"> </w:t>
      </w:r>
      <w:r>
        <w:rPr>
          <w:rStyle w:val="VerbatimChar"/>
          <w:b/>
          <w:bCs/>
        </w:rPr>
        <w:t xml:space="preserve">module4_extracted/Direct and Competitive Binding of anti-LPA antibodies B3 and LT3114/tables/table_page_4_idx_1.csv</w:t>
      </w:r>
      <w:r>
        <w:rPr>
          <w:b/>
          <w:bCs/>
        </w:rPr>
        <w:t xml:space="preserve">)</w:t>
      </w:r>
    </w:p>
    <w:p>
      <w:pPr>
        <w:pStyle w:val="BodyText"/>
      </w:pPr>
      <w:r>
        <w:t xml:space="preserve">0</w:t>
      </w:r>
    </w:p>
    <w:p>
      <w:pPr>
        <w:pStyle w:val="BodyText"/>
      </w:pPr>
      <w:r>
        <w:t xml:space="preserve">1</w:t>
      </w:r>
    </w:p>
    <w:p>
      <w:pPr>
        <w:pStyle w:val="BodyText"/>
      </w:pPr>
      <w:r>
        <w:t xml:space="preserve">REPORT NUMBER: LT3114-PHA-016-R</w:t>
      </w:r>
      <w:r>
        <w:t xml:space="preserve">: Direct and Competitive Binding of anti-LPA</w:t>
      </w:r>
      <w:r>
        <w:t xml:space="preserve">B3 and LT3114</w:t>
      </w:r>
    </w:p>
    <w:p>
      <w:pPr>
        <w:pStyle w:val="BodyText"/>
      </w:pPr>
      <w:r>
        <w:t xml:space="preserve">Page 3 of 8</w:t>
      </w:r>
    </w:p>
    <w:p>
      <w:pPr>
        <w:pStyle w:val="BodyText"/>
      </w:pPr>
      <w:r>
        <w:t xml:space="preserve">REPORT NUMBER: LT3114-PHA-016-R</w:t>
      </w:r>
      <w:r>
        <w:t xml:space="preserve"> </w:t>
      </w:r>
      <w:r>
        <w:t xml:space="preserve">Title: Direct and Competitive Binding of anti-LPA Page 4 of 8</w:t>
      </w:r>
      <w:r>
        <w:t xml:space="preserve"> </w:t>
      </w:r>
      <w:r>
        <w:t xml:space="preserve">antibodies B3 and LT3114</w:t>
      </w:r>
      <w:r>
        <w:t xml:space="preserve"> </w:t>
      </w:r>
      <w:r>
        <w:t xml:space="preserve">3 MATERIALS AND METHODS</w:t>
      </w:r>
      <w:r>
        <w:t xml:space="preserve"> </w:t>
      </w:r>
      <w:r>
        <w:t xml:space="preserve">3.1 Test Article and Control</w:t>
      </w:r>
      <w:r>
        <w:t xml:space="preserve"> </w:t>
      </w:r>
      <w:r>
        <w:t xml:space="preserve">Murine anti-LPA antibody (504B3; B3) Lot # HR121456</w:t>
      </w:r>
      <w:r>
        <w:t xml:space="preserve"> </w:t>
      </w:r>
      <w:r>
        <w:t xml:space="preserve">Humanized anti-LPA antibody (LT3114) Lot # LP121425</w:t>
      </w:r>
      <w:r>
        <w:t xml:space="preserve"> </w:t>
      </w:r>
      <w:r>
        <w:t xml:space="preserve">3.2 Study Design</w:t>
      </w:r>
      <w:r>
        <w:t xml:space="preserve"> </w:t>
      </w:r>
      <w:r>
        <w:t xml:space="preserve">Development of both direct and competition ELISA format assays to demonstrate binding</w:t>
      </w:r>
      <w:r>
        <w:t xml:space="preserve"> </w:t>
      </w:r>
      <w:r>
        <w:t xml:space="preserve">and specificity of anti-LPA antibodies to LPA ligands.</w:t>
      </w:r>
      <w:r>
        <w:t xml:space="preserve"> </w:t>
      </w:r>
      <w:r>
        <w:t xml:space="preserve">3.3 Direct Binding ELISA</w:t>
      </w:r>
      <w:r>
        <w:t xml:space="preserve"> </w:t>
      </w:r>
      <w:r>
        <w:t xml:space="preserve">The assay uses thiolated C12-LPA conjugated to BSA as the capture agent for the direct</w:t>
      </w:r>
      <w:r>
        <w:t xml:space="preserve"> </w:t>
      </w:r>
      <w:r>
        <w:t xml:space="preserve">format ELISA. Ninety six well plates were coated with 100 µl of 1 µg/ml of C12 LPA-BSA-</w:t>
      </w:r>
      <w:r>
        <w:t xml:space="preserve"> </w:t>
      </w:r>
      <w:r>
        <w:t xml:space="preserve">SMCC for 1 hour at 37 degrees. The plates were washed 4 times with PBS and blocked with</w:t>
      </w:r>
      <w:r>
        <w:t xml:space="preserve"> </w:t>
      </w:r>
      <w:r>
        <w:t xml:space="preserve">150 µl of PBS-BSA-Tween for 1 hour at room temperature. 100 µl of B3 or 3114 antibody</w:t>
      </w:r>
      <w:r>
        <w:t xml:space="preserve"> </w:t>
      </w:r>
      <w:r>
        <w:t xml:space="preserve">was added starting at 4 µg/ml and diluted 2-fold across the plate for the standard curve.</w:t>
      </w:r>
      <w:r>
        <w:t xml:space="preserve"> </w:t>
      </w:r>
      <w:r>
        <w:t xml:space="preserve">Plates were incubated at room temperature for 1 hour. Next, plates where washed 4 times</w:t>
      </w:r>
      <w:r>
        <w:t xml:space="preserve"> </w:t>
      </w:r>
      <w:r>
        <w:t xml:space="preserve">with PBS and 100µl of a peroxidase conjugated anti-mouse IgG (H+L) (Jackson</w:t>
      </w:r>
      <w:r>
        <w:t xml:space="preserve"> </w:t>
      </w:r>
      <w:r>
        <w:t xml:space="preserve">immunoresearch 115-035-062) or anti-human IgG (H+L) (Jackson immunoresearch 709-035-</w:t>
      </w:r>
      <w:r>
        <w:t xml:space="preserve"> </w:t>
      </w:r>
      <w:r>
        <w:t xml:space="preserve">149) was added at a 1:40K dilution and incubated for 1 hour at room temperature. Finally,</w:t>
      </w:r>
      <w:r>
        <w:t xml:space="preserve"> </w:t>
      </w:r>
      <w:r>
        <w:t xml:space="preserve">the plates were washed four times with PBS and developed with 100 µl cold TMB substrate</w:t>
      </w:r>
      <w:r>
        <w:t xml:space="preserve"> </w:t>
      </w:r>
      <w:r>
        <w:t xml:space="preserve">for 12 minutes at room temperature. The reaction was stopped with 100 µl of 1M H2SO4.</w:t>
      </w:r>
      <w:r>
        <w:t xml:space="preserve"> </w:t>
      </w:r>
      <w:r>
        <w:t xml:space="preserve">Plates were read at 450 nm.</w:t>
      </w:r>
      <w:r>
        <w:t xml:space="preserve"> </w:t>
      </w:r>
      <w:r>
        <w:t xml:space="preserve">3.4 Competition ELISA</w:t>
      </w:r>
      <w:r>
        <w:t xml:space="preserve"> </w:t>
      </w:r>
      <w:r>
        <w:t xml:space="preserve">The specificity and binding of the murine (B3) and humanized (LT3114) anti-LPA</w:t>
      </w:r>
      <w:r>
        <w:t xml:space="preserve"> </w:t>
      </w:r>
      <w:r>
        <w:t xml:space="preserve">monoclonal antibodies were determined by competition ELISA. For LT3114 competition,</w:t>
      </w:r>
      <w:r>
        <w:t xml:space="preserve"> </w:t>
      </w:r>
      <w:r>
        <w:t xml:space="preserve">goat anti-human IgG (Jackson Immunoresearch, Cat#109-005-098, Lot # 90887) was diluted</w:t>
      </w:r>
      <w:r>
        <w:t xml:space="preserve"> </w:t>
      </w:r>
      <w:r>
        <w:t xml:space="preserve">to 1 µg/mL in carbonate buffer (100 mM NaHCO3, 33.6 mM Na2CO3, pH 9.5) and</w:t>
      </w:r>
      <w:r>
        <w:t xml:space="preserve"> </w:t>
      </w:r>
      <w:r>
        <w:t xml:space="preserve">15 uL/well of the coating solution was added to 384 well plates and incubated overnight at</w:t>
      </w:r>
      <w:r>
        <w:t xml:space="preserve"> </w:t>
      </w:r>
      <w:r>
        <w:t xml:space="preserve">4°C. The following day, the plates were blocked with 60 µL/well PBS + 1% BSA + 0.1%</w:t>
      </w:r>
      <w:r>
        <w:t xml:space="preserve"> </w:t>
      </w:r>
      <w:r>
        <w:t xml:space="preserve">Tween-20 for 1 hour at room temperature. The human 3114 antibody was diluted to</w:t>
      </w:r>
      <w:r>
        <w:t xml:space="preserve"> </w:t>
      </w:r>
      <w:r>
        <w:t xml:space="preserve">50 ng/mL in PBS +0.1 % Tween-20 and 15 µL/well were added and incubated for 1 hour at</w:t>
      </w:r>
      <w:r>
        <w:t xml:space="preserve"> </w:t>
      </w:r>
      <w:r>
        <w:t xml:space="preserve">room temperature. Then, the plates were washed 4X with PBS and incubated for 2 hour at</w:t>
      </w:r>
      <w:r>
        <w:t xml:space="preserve"> </w:t>
      </w:r>
      <w:r>
        <w:t xml:space="preserve">room temperature with 15 µL/well LPA-biotin (20 nM) /unlabeled (2000 to 0.1 nM) lipid</w:t>
      </w:r>
      <w:r>
        <w:t xml:space="preserve"> </w:t>
      </w:r>
      <w:r>
        <w:t xml:space="preserve">mixture. Next, plates were washed 4X with PBS and 15 µL/well SA-HPX 1/30,000 was</w:t>
      </w:r>
      <w:r>
        <w:t xml:space="preserve"> </w:t>
      </w:r>
      <w:r>
        <w:t xml:space="preserve">added and incubated for 15 min at room temperature. Again the plates were washed 4X with</w:t>
      </w:r>
      <w:r>
        <w:t xml:space="preserve"> </w:t>
      </w:r>
      <w:r>
        <w:t xml:space="preserve">PBS and 15 µL/well cold TMB substrate was added. After 5 minutes, the reaction was</w:t>
      </w:r>
      <w:r>
        <w:t xml:space="preserve"> </w:t>
      </w:r>
      <w:r>
        <w:t xml:space="preserve">stopped with 1M H SO . The optical density (OD) was measured at 450 nm using a Thermo</w:t>
      </w:r>
      <w:r>
        <w:t xml:space="preserve"> </w:t>
      </w:r>
      <w:r>
        <w:t xml:space="preserve">2 4</w:t>
      </w:r>
      <w:r>
        <w:t xml:space="preserve"> </w:t>
      </w:r>
      <w:r>
        <w:t xml:space="preserve">CONFIDENTIAL</w:t>
      </w:r>
    </w:p>
    <w:p>
      <w:pPr>
        <w:pStyle w:val="BodyText"/>
      </w:pPr>
      <w:r>
        <w:rPr>
          <w:b/>
          <w:bCs/>
        </w:rPr>
        <w:t xml:space="preserve">Table (source:</w:t>
      </w:r>
      <w:r>
        <w:rPr>
          <w:b/>
          <w:bCs/>
        </w:rPr>
        <w:t xml:space="preserve"> </w:t>
      </w:r>
      <w:r>
        <w:rPr>
          <w:rStyle w:val="VerbatimChar"/>
          <w:b/>
          <w:bCs/>
        </w:rPr>
        <w:t xml:space="preserve">module4_extracted/Direct and Competitive Binding of anti-LPA antibodies B3 and LT3114/tables/table_page_5_idx_1.csv</w:t>
      </w:r>
      <w:r>
        <w:rPr>
          <w:b/>
          <w:bCs/>
        </w:rPr>
        <w:t xml:space="preserve">)</w:t>
      </w:r>
    </w:p>
    <w:p>
      <w:pPr>
        <w:pStyle w:val="BodyText"/>
      </w:pPr>
      <w:r>
        <w:t xml:space="preserve">0</w:t>
      </w:r>
    </w:p>
    <w:p>
      <w:pPr>
        <w:pStyle w:val="BodyText"/>
      </w:pPr>
      <w:r>
        <w:t xml:space="preserve">1</w:t>
      </w:r>
    </w:p>
    <w:p>
      <w:pPr>
        <w:pStyle w:val="BodyText"/>
      </w:pPr>
      <w:r>
        <w:t xml:space="preserve">REPORT NUMBER: LT3114-PHA-016-R</w:t>
      </w:r>
      <w:r>
        <w:t xml:space="preserve">: Direct and Competitive Binding of anti-LPA</w:t>
      </w:r>
      <w:r>
        <w:t xml:space="preserve">B3 and LT3114</w:t>
      </w:r>
    </w:p>
    <w:p>
      <w:pPr>
        <w:pStyle w:val="BodyText"/>
      </w:pPr>
      <w:r>
        <w:t xml:space="preserve">Page 4 of 8</w:t>
      </w:r>
    </w:p>
    <w:p>
      <w:pPr>
        <w:pStyle w:val="BodyText"/>
      </w:pPr>
      <w:r>
        <w:t xml:space="preserve">REPORT NUMBER: LT3114-PHA-016-R</w:t>
      </w:r>
      <w:r>
        <w:t xml:space="preserve"> </w:t>
      </w:r>
      <w:r>
        <w:t xml:space="preserve">Title: Direct and Competitive Binding of anti-LPA Page 5 of 8</w:t>
      </w:r>
      <w:r>
        <w:t xml:space="preserve"> </w:t>
      </w:r>
      <w:r>
        <w:t xml:space="preserve">antibodies B3 and LT3114</w:t>
      </w:r>
      <w:r>
        <w:t xml:space="preserve"> </w:t>
      </w:r>
      <w:r>
        <w:t xml:space="preserve">Multiskan EX. Raw data were transferred to GraphPad software for analysis. Values for</w:t>
      </w:r>
      <w:r>
        <w:t xml:space="preserve"> </w:t>
      </w:r>
      <w:r>
        <w:t xml:space="preserve">percent inhibition were calculated for each lipid using Microsoft Excel.</w:t>
      </w:r>
      <w:r>
        <w:t xml:space="preserve"> </w:t>
      </w:r>
      <w:r>
        <w:t xml:space="preserve">For B3 competition the same method was followed but Jackson Immunoresearch goat anti-</w:t>
      </w:r>
      <w:r>
        <w:t xml:space="preserve"> </w:t>
      </w:r>
      <w:r>
        <w:t xml:space="preserve">mouse IgG, (Cat#115-005-071, Lot# 91365) was used to coat the plates.</w:t>
      </w:r>
      <w:r>
        <w:t xml:space="preserve"> </w:t>
      </w:r>
      <w:r>
        <w:t xml:space="preserve">3.5 Data Analysis</w:t>
      </w:r>
      <w:r>
        <w:t xml:space="preserve"> </w:t>
      </w:r>
      <w:r>
        <w:t xml:space="preserve">The plates were read on Thermo multiscan EX plate reader at an absorbance of 450 nm. Raw</w:t>
      </w:r>
      <w:r>
        <w:t xml:space="preserve"> </w:t>
      </w:r>
      <w:r>
        <w:t xml:space="preserve">data was recorded directly by Ascent software for the Multiscan plate reader. Preliminary</w:t>
      </w:r>
      <w:r>
        <w:t xml:space="preserve"> </w:t>
      </w:r>
      <w:r>
        <w:t xml:space="preserve">calculations and statistical analysis were performed either in Graphpad Prizm or Excel</w:t>
      </w:r>
      <w:r>
        <w:t xml:space="preserve"> </w:t>
      </w:r>
      <w:r>
        <w:t xml:space="preserve">software.</w:t>
      </w:r>
      <w:r>
        <w:t xml:space="preserve"> </w:t>
      </w:r>
      <w:r>
        <w:t xml:space="preserve">4 RESULTS</w:t>
      </w:r>
      <w:r>
        <w:t xml:space="preserve"> </w:t>
      </w:r>
      <w:r>
        <w:t xml:space="preserve">Binding of Anti-LPA antibodies to LPA by Direct ELISA</w:t>
      </w:r>
      <w:r>
        <w:t xml:space="preserve"> </w:t>
      </w:r>
      <w:r>
        <w:t xml:space="preserve">The murine mAb used for proof-of-concept studies in animal models of neuropathic pain</w:t>
      </w:r>
      <w:r>
        <w:t xml:space="preserve"> </w:t>
      </w:r>
      <w:r>
        <w:t xml:space="preserve">(designated B3) and the humanized variant (LT3114) shows similar binding characteristics</w:t>
      </w:r>
      <w:r>
        <w:t xml:space="preserve"> </w:t>
      </w:r>
      <w:r>
        <w:t xml:space="preserve">by direct ELISA. Binding curves were comparable and all fit well to the 4-parameter model</w:t>
      </w:r>
      <w:r>
        <w:t xml:space="preserve"> </w:t>
      </w:r>
      <w:r>
        <w:t xml:space="preserve">with a Hill slope of ~1 and narrow 95% confidence limits for comparable EC50 (33.5 ng/ml</w:t>
      </w:r>
      <w:r>
        <w:t xml:space="preserve"> </w:t>
      </w:r>
      <w:r>
        <w:t xml:space="preserve">for B3 and 24.4 ng/ml for LT3114) (Figure 1, A and B).</w:t>
      </w:r>
      <w:r>
        <w:t xml:space="preserve"> </w:t>
      </w:r>
      <w:r>
        <w:t xml:space="preserve">Binding Affinities of Anti-LPA antibodies to LPA Isoforms by Competition ELISA</w:t>
      </w:r>
      <w:r>
        <w:t xml:space="preserve"> </w:t>
      </w:r>
      <w:r>
        <w:t xml:space="preserve">The competition binding ELISA was used to compare the affinity of the murine (B3) and</w:t>
      </w:r>
      <w:r>
        <w:t xml:space="preserve"> </w:t>
      </w:r>
      <w:r>
        <w:t xml:space="preserve">humanized (LT3114) antibody for different isoforms of LPA. Figure 2 shows the competition</w:t>
      </w:r>
      <w:r>
        <w:t xml:space="preserve"> </w:t>
      </w:r>
      <w:r>
        <w:t xml:space="preserve">binding curves for 16:0, 18:0, 18:1, 18:2 and 20:4 LPA isoforms. The humanized antibody,</w:t>
      </w:r>
      <w:r>
        <w:t xml:space="preserve"> </w:t>
      </w:r>
      <w:r>
        <w:t xml:space="preserve">LT3114, and the murine antibody, B3, from which the LT3114 CDRs were obtained, have</w:t>
      </w:r>
      <w:r>
        <w:t xml:space="preserve"> </w:t>
      </w:r>
      <w:r>
        <w:t xml:space="preserve">essentially identical binding characteristics for native lipid, with a Ki of 16 nM for 18:2 LPA,</w:t>
      </w:r>
      <w:r>
        <w:t xml:space="preserve"> </w:t>
      </w:r>
      <w:r>
        <w:t xml:space="preserve">360 nM for 18:1 LPA (Table 1).</w:t>
      </w:r>
      <w:r>
        <w:t xml:space="preserve"> </w:t>
      </w:r>
      <w:r>
        <w:t xml:space="preserve">CONFIDENTIAL</w:t>
      </w:r>
    </w:p>
    <w:p>
      <w:pPr>
        <w:pStyle w:val="BodyText"/>
      </w:pPr>
      <w:r>
        <w:rPr>
          <w:b/>
          <w:bCs/>
        </w:rPr>
        <w:t xml:space="preserve">Table (source:</w:t>
      </w:r>
      <w:r>
        <w:rPr>
          <w:b/>
          <w:bCs/>
        </w:rPr>
        <w:t xml:space="preserve"> </w:t>
      </w:r>
      <w:r>
        <w:rPr>
          <w:rStyle w:val="VerbatimChar"/>
          <w:b/>
          <w:bCs/>
        </w:rPr>
        <w:t xml:space="preserve">module4_extracted/Direct and Competitive Binding of anti-LPA antibodies B3 and LT3114/tables/table_page_6_idx_1.csv</w:t>
      </w:r>
      <w:r>
        <w:rPr>
          <w:b/>
          <w:bCs/>
        </w:rPr>
        <w:t xml:space="preserve">)</w:t>
      </w:r>
    </w:p>
    <w:p>
      <w:pPr>
        <w:pStyle w:val="BodyText"/>
      </w:pPr>
      <w:r>
        <w:t xml:space="preserve">0</w:t>
      </w:r>
    </w:p>
    <w:p>
      <w:pPr>
        <w:pStyle w:val="BodyText"/>
      </w:pPr>
      <w:r>
        <w:t xml:space="preserve">1</w:t>
      </w:r>
    </w:p>
    <w:p>
      <w:pPr>
        <w:pStyle w:val="BodyText"/>
      </w:pPr>
      <w:r>
        <w:t xml:space="preserve">REPORT NUMBER: LT3114-PHA-016-R</w:t>
      </w:r>
      <w:r>
        <w:t xml:space="preserve">: Direct and Competitive Binding of anti-LPA</w:t>
      </w:r>
      <w:r>
        <w:t xml:space="preserve">B3 and LT3114</w:t>
      </w:r>
    </w:p>
    <w:p>
      <w:pPr>
        <w:pStyle w:val="BodyText"/>
      </w:pPr>
      <w:r>
        <w:t xml:space="preserve">Page 5 of 8</w:t>
      </w:r>
    </w:p>
    <w:p>
      <w:pPr>
        <w:pStyle w:val="BodyText"/>
      </w:pPr>
      <w:r>
        <w:t xml:space="preserve">REPORT NUMBER: LT3114-PHA-016-R</w:t>
      </w:r>
      <w:r>
        <w:t xml:space="preserve"> </w:t>
      </w:r>
      <w:r>
        <w:t xml:space="preserve">Title: Direct and Competitive Binding of anti-LPA Page 6 of 8</w:t>
      </w:r>
      <w:r>
        <w:t xml:space="preserve"> </w:t>
      </w:r>
      <w:r>
        <w:t xml:space="preserve">antibodies B3 and LT3114</w:t>
      </w:r>
      <w:r>
        <w:t xml:space="preserve"> </w:t>
      </w:r>
      <w:r>
        <w:t xml:space="preserve">Figure 1. Binding Curves For B3 (A) and LT3114 (B)</w:t>
      </w:r>
      <w:r>
        <w:t xml:space="preserve"> </w:t>
      </w:r>
      <w:r>
        <w:t xml:space="preserve">A</w:t>
      </w:r>
      <w:r>
        <w:t xml:space="preserve"> </w:t>
      </w:r>
      <w:r>
        <w:t xml:space="preserve">B</w:t>
      </w:r>
      <w:r>
        <w:t xml:space="preserve"> </w:t>
      </w:r>
      <w:r>
        <w:t xml:space="preserve">CONFIDENTIAL</w:t>
      </w:r>
    </w:p>
    <w:p>
      <w:pPr>
        <w:pStyle w:val="BodyText"/>
      </w:pPr>
      <w:r>
        <w:rPr>
          <w:b/>
          <w:bCs/>
        </w:rPr>
        <w:t xml:space="preserve">Table (source:</w:t>
      </w:r>
      <w:r>
        <w:rPr>
          <w:b/>
          <w:bCs/>
        </w:rPr>
        <w:t xml:space="preserve"> </w:t>
      </w:r>
      <w:r>
        <w:rPr>
          <w:rStyle w:val="VerbatimChar"/>
          <w:b/>
          <w:bCs/>
        </w:rPr>
        <w:t xml:space="preserve">module4_extracted/Direct and Competitive Binding of anti-LPA antibodies B3 and LT3114/tables/table_page_7_idx_1.csv</w:t>
      </w:r>
      <w:r>
        <w:rPr>
          <w:b/>
          <w:bCs/>
        </w:rPr>
        <w:t xml:space="preserve">)</w:t>
      </w:r>
    </w:p>
    <w:p>
      <w:pPr>
        <w:pStyle w:val="BodyText"/>
      </w:pPr>
      <w:r>
        <w:t xml:space="preserve">0</w:t>
      </w:r>
    </w:p>
    <w:p>
      <w:pPr>
        <w:pStyle w:val="BodyText"/>
      </w:pPr>
      <w:r>
        <w:t xml:space="preserve">1</w:t>
      </w:r>
    </w:p>
    <w:p>
      <w:pPr>
        <w:pStyle w:val="BodyText"/>
      </w:pPr>
      <w:r>
        <w:t xml:space="preserve">REPORT NUMBER: LT3114-PHA-016-R</w:t>
      </w:r>
      <w:r>
        <w:t xml:space="preserve">: Direct and Competitive Binding of anti-LPA</w:t>
      </w:r>
      <w:r>
        <w:t xml:space="preserve">B3 and LT3114</w:t>
      </w:r>
    </w:p>
    <w:p>
      <w:pPr>
        <w:pStyle w:val="BodyText"/>
      </w:pPr>
      <w:r>
        <w:t xml:space="preserve">Page 6 of 8</w:t>
      </w:r>
    </w:p>
    <w:p>
      <w:pPr>
        <w:pStyle w:val="CaptionedFigure"/>
      </w:pPr>
      <w:r>
        <w:drawing>
          <wp:inline>
            <wp:extent cx="5334000" cy="3551889"/>
            <wp:effectExtent b="0" l="0" r="0" t="0"/>
            <wp:docPr descr="B" title="" id="16" name="Picture"/>
            <a:graphic>
              <a:graphicData uri="http://schemas.openxmlformats.org/drawingml/2006/picture">
                <pic:pic>
                  <pic:nvPicPr>
                    <pic:cNvPr descr="module4_extracted/Direct%20and%20Competitive%20Binding%20of%20anti-LPA%20antibodies%20B3%20and%20LT3114/images/image_page_7_idx_1.png" id="17" name="Picture"/>
                    <pic:cNvPicPr>
                      <a:picLocks noChangeArrowheads="1" noChangeAspect="1"/>
                    </pic:cNvPicPr>
                  </pic:nvPicPr>
                  <pic:blipFill>
                    <a:blip r:embed="rId15"/>
                    <a:stretch>
                      <a:fillRect/>
                    </a:stretch>
                  </pic:blipFill>
                  <pic:spPr bwMode="auto">
                    <a:xfrm>
                      <a:off x="0" y="0"/>
                      <a:ext cx="5334000" cy="3551889"/>
                    </a:xfrm>
                    <a:prstGeom prst="rect">
                      <a:avLst/>
                    </a:prstGeom>
                    <a:noFill/>
                    <a:ln w="9525">
                      <a:noFill/>
                      <a:headEnd/>
                      <a:tailEnd/>
                    </a:ln>
                  </pic:spPr>
                </pic:pic>
              </a:graphicData>
            </a:graphic>
          </wp:inline>
        </w:drawing>
      </w:r>
    </w:p>
    <w:p>
      <w:pPr>
        <w:pStyle w:val="ImageCaption"/>
      </w:pPr>
      <w:r>
        <w:t xml:space="preserve">B</w:t>
      </w:r>
    </w:p>
    <w:p>
      <w:pPr>
        <w:pStyle w:val="CaptionedFigure"/>
      </w:pPr>
      <w:r>
        <w:drawing>
          <wp:inline>
            <wp:extent cx="5334000" cy="3759729"/>
            <wp:effectExtent b="0" l="0" r="0" t="0"/>
            <wp:docPr descr="Image page 7 #2" title="" id="19" name="Picture"/>
            <a:graphic>
              <a:graphicData uri="http://schemas.openxmlformats.org/drawingml/2006/picture">
                <pic:pic>
                  <pic:nvPicPr>
                    <pic:cNvPr descr="module4_extracted/Direct%20and%20Competitive%20Binding%20of%20anti-LPA%20antibodies%20B3%20and%20LT3114/images/image_page_7_idx_2.png" id="20" name="Picture"/>
                    <pic:cNvPicPr>
                      <a:picLocks noChangeArrowheads="1" noChangeAspect="1"/>
                    </pic:cNvPicPr>
                  </pic:nvPicPr>
                  <pic:blipFill>
                    <a:blip r:embed="rId18"/>
                    <a:stretch>
                      <a:fillRect/>
                    </a:stretch>
                  </pic:blipFill>
                  <pic:spPr bwMode="auto">
                    <a:xfrm>
                      <a:off x="0" y="0"/>
                      <a:ext cx="5334000" cy="3759729"/>
                    </a:xfrm>
                    <a:prstGeom prst="rect">
                      <a:avLst/>
                    </a:prstGeom>
                    <a:noFill/>
                    <a:ln w="9525">
                      <a:noFill/>
                      <a:headEnd/>
                      <a:tailEnd/>
                    </a:ln>
                  </pic:spPr>
                </pic:pic>
              </a:graphicData>
            </a:graphic>
          </wp:inline>
        </w:drawing>
      </w:r>
    </w:p>
    <w:p>
      <w:pPr>
        <w:pStyle w:val="ImageCaption"/>
      </w:pPr>
      <w:r>
        <w:t xml:space="preserve">Image page 7 #2</w:t>
      </w:r>
    </w:p>
    <w:p>
      <w:pPr>
        <w:pStyle w:val="BodyText"/>
      </w:pPr>
      <w:r>
        <w:t xml:space="preserve">REPORT NUMBER: LT3114-PHA-016-R</w:t>
      </w:r>
      <w:r>
        <w:t xml:space="preserve"> </w:t>
      </w:r>
      <w:r>
        <w:t xml:space="preserve">Title: Direct and Competitive Binding of anti-LPA Page 7 of 8</w:t>
      </w:r>
      <w:r>
        <w:t xml:space="preserve"> </w:t>
      </w:r>
      <w:r>
        <w:t xml:space="preserve">antibodies B3 and LT3114</w:t>
      </w:r>
      <w:r>
        <w:t xml:space="preserve"> </w:t>
      </w:r>
      <w:r>
        <w:t xml:space="preserve">Figure 2 Affinity of anti-LPA antibodies for various LPA isoforms. Affinities of</w:t>
      </w:r>
      <w:r>
        <w:t xml:space="preserve"> </w:t>
      </w:r>
      <w:r>
        <w:t xml:space="preserve">the antibodies for native 16:0, 18:0, 18:1, 18:2, and 20:4 were measured in</w:t>
      </w:r>
      <w:r>
        <w:t xml:space="preserve"> </w:t>
      </w:r>
      <w:r>
        <w:t xml:space="preserve">an ELISA-based competition binding assay.</w:t>
      </w:r>
      <w:r>
        <w:t xml:space="preserve"> </w:t>
      </w:r>
      <w:r>
        <w:t xml:space="preserve">Table 1 The Ki for each antibody binding to native LPA isoforms.</w:t>
      </w:r>
      <w:r>
        <w:t xml:space="preserve"> </w:t>
      </w:r>
      <w:r>
        <w:t xml:space="preserve">Ki for each of the lipids was determined by fitting the competition binding data using the formula of Cheng and Prusoff in</w:t>
      </w:r>
      <w:r>
        <w:t xml:space="preserve"> </w:t>
      </w:r>
      <w:r>
        <w:t xml:space="preserve">GraphPad Prism software and the Kd of each antibody for the biotin-labeled LPA determined in a separate saturation</w:t>
      </w:r>
      <w:r>
        <w:t xml:space="preserve"> </w:t>
      </w:r>
      <w:r>
        <w:t xml:space="preserve">binding ELISA experiment</w:t>
      </w:r>
      <w:r>
        <w:t xml:space="preserve"> </w:t>
      </w:r>
      <w:r>
        <w:t xml:space="preserve">CONFIDENTIAL</w:t>
      </w:r>
    </w:p>
    <w:p>
      <w:pPr>
        <w:pStyle w:val="BodyText"/>
      </w:pPr>
      <w:r>
        <w:rPr>
          <w:b/>
          <w:bCs/>
        </w:rPr>
        <w:t xml:space="preserve">Table (source:</w:t>
      </w:r>
      <w:r>
        <w:rPr>
          <w:b/>
          <w:bCs/>
        </w:rPr>
        <w:t xml:space="preserve"> </w:t>
      </w:r>
      <w:r>
        <w:rPr>
          <w:rStyle w:val="VerbatimChar"/>
          <w:b/>
          <w:bCs/>
        </w:rPr>
        <w:t xml:space="preserve">module4_extracted/Direct and Competitive Binding of anti-LPA antibodies B3 and LT3114/tables/table_page_8_idx_1.csv</w:t>
      </w:r>
      <w:r>
        <w:rPr>
          <w:b/>
          <w:bCs/>
        </w:rPr>
        <w:t xml:space="preserve">)</w:t>
      </w:r>
    </w:p>
    <w:p>
      <w:pPr>
        <w:pStyle w:val="BodyText"/>
      </w:pPr>
      <w:r>
        <w:t xml:space="preserve">0</w:t>
      </w:r>
    </w:p>
    <w:p>
      <w:pPr>
        <w:pStyle w:val="BodyText"/>
      </w:pPr>
      <w:r>
        <w:t xml:space="preserve">1</w:t>
      </w:r>
    </w:p>
    <w:p>
      <w:pPr>
        <w:pStyle w:val="BodyText"/>
      </w:pPr>
      <w:r>
        <w:t xml:space="preserve">REPORT NUMBER: LT3114-PHA-016-R</w:t>
      </w:r>
      <w:r>
        <w:t xml:space="preserve">: Direct and Competitive Binding of anti-LPA</w:t>
      </w:r>
      <w:r>
        <w:t xml:space="preserve">B3 and LT3114</w:t>
      </w:r>
    </w:p>
    <w:p>
      <w:pPr>
        <w:pStyle w:val="BodyText"/>
      </w:pPr>
      <w:r>
        <w:t xml:space="preserve">Page 7 of 8</w:t>
      </w:r>
    </w:p>
    <w:p>
      <w:pPr>
        <w:pStyle w:val="CaptionedFigure"/>
      </w:pPr>
      <w:r>
        <w:drawing>
          <wp:inline>
            <wp:extent cx="5334000" cy="2061949"/>
            <wp:effectExtent b="0" l="0" r="0" t="0"/>
            <wp:docPr descr="Table 1 The Ki for each antibody binding to native LPA isoforms." title="" id="22" name="Picture"/>
            <a:graphic>
              <a:graphicData uri="http://schemas.openxmlformats.org/drawingml/2006/picture">
                <pic:pic>
                  <pic:nvPicPr>
                    <pic:cNvPr descr="module4_extracted/Direct%20and%20Competitive%20Binding%20of%20anti-LPA%20antibodies%20B3%20and%20LT3114/images/image_page_8_idx_1.png" id="23" name="Picture"/>
                    <pic:cNvPicPr>
                      <a:picLocks noChangeArrowheads="1" noChangeAspect="1"/>
                    </pic:cNvPicPr>
                  </pic:nvPicPr>
                  <pic:blipFill>
                    <a:blip r:embed="rId21"/>
                    <a:stretch>
                      <a:fillRect/>
                    </a:stretch>
                  </pic:blipFill>
                  <pic:spPr bwMode="auto">
                    <a:xfrm>
                      <a:off x="0" y="0"/>
                      <a:ext cx="5334000" cy="2061949"/>
                    </a:xfrm>
                    <a:prstGeom prst="rect">
                      <a:avLst/>
                    </a:prstGeom>
                    <a:noFill/>
                    <a:ln w="9525">
                      <a:noFill/>
                      <a:headEnd/>
                      <a:tailEnd/>
                    </a:ln>
                  </pic:spPr>
                </pic:pic>
              </a:graphicData>
            </a:graphic>
          </wp:inline>
        </w:drawing>
      </w:r>
    </w:p>
    <w:p>
      <w:pPr>
        <w:pStyle w:val="ImageCaption"/>
      </w:pPr>
      <w:r>
        <w:t xml:space="preserve">Table 1 The Ki for each antibody binding to native LPA isoforms.</w:t>
      </w:r>
    </w:p>
    <w:p>
      <w:pPr>
        <w:pStyle w:val="CaptionedFigure"/>
      </w:pPr>
      <w:r>
        <w:drawing>
          <wp:inline>
            <wp:extent cx="5334000" cy="4308729"/>
            <wp:effectExtent b="0" l="0" r="0" t="0"/>
            <wp:docPr descr="Ki for each of the lipids was determined by fitting the competition binding data using the formula of Cheng and Prusoff in GraphPad Prism software and the Kd of each antibody for the biotin-labeled LPA determined in a separate saturation binding ELISA experiment" title="" id="25" name="Picture"/>
            <a:graphic>
              <a:graphicData uri="http://schemas.openxmlformats.org/drawingml/2006/picture">
                <pic:pic>
                  <pic:nvPicPr>
                    <pic:cNvPr descr="module4_extracted/Direct%20and%20Competitive%20Binding%20of%20anti-LPA%20antibodies%20B3%20and%20LT3114/images/image_page_8_idx_2.png" id="26" name="Picture"/>
                    <pic:cNvPicPr>
                      <a:picLocks noChangeArrowheads="1" noChangeAspect="1"/>
                    </pic:cNvPicPr>
                  </pic:nvPicPr>
                  <pic:blipFill>
                    <a:blip r:embed="rId24"/>
                    <a:stretch>
                      <a:fillRect/>
                    </a:stretch>
                  </pic:blipFill>
                  <pic:spPr bwMode="auto">
                    <a:xfrm>
                      <a:off x="0" y="0"/>
                      <a:ext cx="5334000" cy="4308729"/>
                    </a:xfrm>
                    <a:prstGeom prst="rect">
                      <a:avLst/>
                    </a:prstGeom>
                    <a:noFill/>
                    <a:ln w="9525">
                      <a:noFill/>
                      <a:headEnd/>
                      <a:tailEnd/>
                    </a:ln>
                  </pic:spPr>
                </pic:pic>
              </a:graphicData>
            </a:graphic>
          </wp:inline>
        </w:drawing>
      </w:r>
    </w:p>
    <w:p>
      <w:pPr>
        <w:pStyle w:val="ImageCaption"/>
      </w:pPr>
      <w:r>
        <w:t xml:space="preserve">Ki for each of the lipids was determined by fitting the competition binding data using the formula of Cheng and Prusoff in GraphPad Prism software and the Kd of each antibody for the biotin-labeled LPA determined in a separate saturation binding ELISA experiment</w:t>
      </w:r>
    </w:p>
    <w:p>
      <w:pPr>
        <w:pStyle w:val="BodyText"/>
      </w:pPr>
      <w:r>
        <w:t xml:space="preserve">REPORT NUMBER: LT3114-PHA-016-R</w:t>
      </w:r>
      <w:r>
        <w:t xml:space="preserve"> </w:t>
      </w:r>
      <w:r>
        <w:t xml:space="preserve">Title: Direct and Competitive Binding of anti-LPA Page 8 of 8</w:t>
      </w:r>
      <w:r>
        <w:t xml:space="preserve"> </w:t>
      </w:r>
      <w:r>
        <w:t xml:space="preserve">antibodies B3 and LT3114</w:t>
      </w:r>
      <w:r>
        <w:t xml:space="preserve"> </w:t>
      </w:r>
      <w:r>
        <w:t xml:space="preserve">5 CONCLUSION</w:t>
      </w:r>
      <w:r>
        <w:t xml:space="preserve"> </w:t>
      </w:r>
      <w:r>
        <w:t xml:space="preserve">We have generated potent and specific mouse (B3) and humanized (LT3114) neutralizing</w:t>
      </w:r>
      <w:r>
        <w:t xml:space="preserve"> </w:t>
      </w:r>
      <w:r>
        <w:t xml:space="preserve">antibodies that bind to a wide range of physiologically relevant LPA isoforms.</w:t>
      </w:r>
      <w:r>
        <w:t xml:space="preserve"> </w:t>
      </w:r>
      <w:r>
        <w:t xml:space="preserve">6 DATA ARCHIVE</w:t>
      </w:r>
      <w:r>
        <w:t xml:space="preserve"> </w:t>
      </w:r>
      <w:r>
        <w:t xml:space="preserve">B3 Binding direct ELISA: Lpath Notebook #312, pp 5-6</w:t>
      </w:r>
      <w:r>
        <w:t xml:space="preserve"> </w:t>
      </w:r>
      <w:r>
        <w:t xml:space="preserve">3114 Binding by direct ELISA: Lpath Notebook #301, pp 102-103</w:t>
      </w:r>
      <w:r>
        <w:t xml:space="preserve"> </w:t>
      </w:r>
      <w:r>
        <w:t xml:space="preserve">Affinity data: Lpath Notebook #220, p81</w:t>
      </w:r>
      <w:r>
        <w:t xml:space="preserve"> </w:t>
      </w:r>
      <w:r>
        <w:t xml:space="preserve">CONFIDENTIAL</w:t>
      </w:r>
    </w:p>
    <w:p>
      <w:pPr>
        <w:pStyle w:val="BodyText"/>
      </w:pPr>
      <w:r>
        <w:rPr>
          <w:b/>
          <w:bCs/>
        </w:rPr>
        <w:t xml:space="preserve">Table (source:</w:t>
      </w:r>
      <w:r>
        <w:rPr>
          <w:b/>
          <w:bCs/>
        </w:rPr>
        <w:t xml:space="preserve"> </w:t>
      </w:r>
      <w:r>
        <w:rPr>
          <w:rStyle w:val="VerbatimChar"/>
          <w:b/>
          <w:bCs/>
        </w:rPr>
        <w:t xml:space="preserve">module4_extracted/Direct and Competitive Binding of anti-LPA antibodies B3 and LT3114/tables/table_page_9_idx_1.csv</w:t>
      </w:r>
      <w:r>
        <w:rPr>
          <w:b/>
          <w:bCs/>
        </w:rPr>
        <w:t xml:space="preserve">)</w:t>
      </w:r>
    </w:p>
    <w:p>
      <w:pPr>
        <w:pStyle w:val="BodyText"/>
      </w:pPr>
      <w:r>
        <w:t xml:space="preserve">0</w:t>
      </w:r>
    </w:p>
    <w:p>
      <w:pPr>
        <w:pStyle w:val="BodyText"/>
      </w:pPr>
      <w:r>
        <w:t xml:space="preserve">1</w:t>
      </w:r>
    </w:p>
    <w:p>
      <w:pPr>
        <w:pStyle w:val="BodyText"/>
      </w:pPr>
      <w:r>
        <w:t xml:space="preserve">REPORT NUMBER: LT3114-PHA-016-R</w:t>
      </w:r>
      <w:r>
        <w:t xml:space="preserve">: Direct and Competitive Binding of anti-LPA</w:t>
      </w:r>
      <w:r>
        <w:t xml:space="preserve">B3 and LT3114</w:t>
      </w:r>
    </w:p>
    <w:p>
      <w:pPr>
        <w:pStyle w:val="BodyText"/>
      </w:pPr>
      <w:r>
        <w:t xml:space="preserve">Page 8 of 8</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2025-12-05T03:37:58Z</dcterms:created>
  <dcterms:modified xsi:type="dcterms:W3CDTF">2025-12-05T03:37:58Z</dcterms:modified>
</cp:coreProperties>
</file>

<file path=docProps/custom.xml><?xml version="1.0" encoding="utf-8"?>
<Properties xmlns="http://schemas.openxmlformats.org/officeDocument/2006/custom-properties" xmlns:vt="http://schemas.openxmlformats.org/officeDocument/2006/docPropsVTypes"/>
</file>