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right"/>
      </w:pPr>
      <w:r>
        <w:rPr>
          <w:rFonts w:ascii="微软雅黑" w:hAnsi="微软雅黑" w:eastAsia="微软雅黑"/>
          <w:b w:val="0"/>
          <w:color w:val="CC0000"/>
          <w:sz w:val="18"/>
        </w:rPr>
        <w:t>【内部资料 · 仅供银行业内使用】</w:t>
      </w:r>
    </w:p>
    <w:p>
      <w:pPr>
        <w:spacing w:before="400" w:after="120"/>
        <w:jc w:val="center"/>
      </w:pPr>
      <w:r>
        <w:rPr>
          <w:rFonts w:ascii="微软雅黑" w:hAnsi="微软雅黑" w:eastAsia="微软雅黑"/>
          <w:b/>
          <w:color w:val="3D405B"/>
          <w:sz w:val="56"/>
        </w:rPr>
        <w:t>产业金融发展策略分析报告</w:t>
      </w:r>
    </w:p>
    <w:p>
      <w:pPr>
        <w:spacing w:before="0" w:after="400"/>
        <w:jc w:val="center"/>
      </w:pPr>
      <w:r>
        <w:rPr>
          <w:rFonts w:ascii="微软雅黑" w:hAnsi="微软雅黑" w:eastAsia="微软雅黑"/>
          <w:b w:val="0"/>
          <w:color w:val="81B29A"/>
          <w:sz w:val="32"/>
        </w:rPr>
        <w:t>——基于龙岩分行汇报的第一性原理分析</w:t>
      </w:r>
    </w:p>
    <w:p>
      <w:pPr>
        <w:spacing w:before="0" w:after="400"/>
        <w:jc w:val="center"/>
      </w:pPr>
      <w:r>
        <w:rPr>
          <w:rFonts w:ascii="微软雅黑" w:hAnsi="微软雅黑" w:eastAsia="微软雅黑"/>
          <w:b w:val="0"/>
          <w:color w:val="A8A8A8"/>
          <w:sz w:val="20"/>
        </w:rPr>
        <w:t>────────────────────────────────────────</w:t>
      </w:r>
    </w:p>
    <w:p>
      <w:pPr>
        <w:spacing w:before="60" w:after="60"/>
        <w:jc w:val="center"/>
      </w:pPr>
      <w:r>
        <w:rPr>
          <w:rFonts w:ascii="微软雅黑" w:hAnsi="微软雅黑" w:eastAsia="微软雅黑"/>
          <w:b w:val="0"/>
          <w:color w:val="1A1A2E"/>
          <w:sz w:val="24"/>
        </w:rPr>
        <w:t>分析对象：福建省龙岩市“2+4”产业体系</w:t>
      </w:r>
    </w:p>
    <w:p>
      <w:pPr>
        <w:spacing w:before="60" w:after="60"/>
        <w:jc w:val="center"/>
      </w:pPr>
      <w:r>
        <w:rPr>
          <w:rFonts w:ascii="微软雅黑" w:hAnsi="微软雅黑" w:eastAsia="微软雅黑"/>
          <w:b w:val="0"/>
          <w:color w:val="1A1A2E"/>
          <w:sz w:val="24"/>
        </w:rPr>
        <w:t>对标借鉴：上海生物医药产业金融服务方案</w:t>
      </w:r>
    </w:p>
    <w:p>
      <w:pPr>
        <w:spacing w:before="60" w:after="60"/>
        <w:jc w:val="center"/>
      </w:pPr>
      <w:r>
        <w:rPr>
          <w:rFonts w:ascii="微软雅黑" w:hAnsi="微软雅黑" w:eastAsia="微软雅黑"/>
          <w:b w:val="0"/>
          <w:color w:val="1A1A2E"/>
          <w:sz w:val="24"/>
        </w:rPr>
        <w:t>报告编制：Hermes Agent</w:t>
      </w:r>
    </w:p>
    <w:p>
      <w:pPr>
        <w:spacing w:before="60" w:after="60"/>
        <w:jc w:val="center"/>
      </w:pPr>
      <w:r>
        <w:rPr>
          <w:rFonts w:ascii="微软雅黑" w:hAnsi="微软雅黑" w:eastAsia="微软雅黑"/>
          <w:b w:val="0"/>
          <w:color w:val="1A1A2E"/>
          <w:sz w:val="24"/>
        </w:rPr>
        <w:t>编制日期：2026年04月22日</w:t>
      </w:r>
    </w:p>
    <w:p/>
    <w:p/>
    <w:p>
      <w:pPr>
        <w:spacing w:before="800" w:after="120"/>
        <w:jc w:val="center"/>
      </w:pPr>
      <w:r>
        <w:rPr>
          <w:rFonts w:ascii="微软雅黑" w:hAnsi="微软雅黑" w:eastAsia="微软雅黑"/>
          <w:b w:val="0"/>
          <w:color w:val="A8A8A8"/>
          <w:sz w:val="20"/>
        </w:rPr>
        <w:t>CreditWiki 知识库 | 兴业银行研究团队</w:t>
      </w:r>
    </w:p>
    <w:p>
      <w:r>
        <w:br w:type="page"/>
      </w:r>
    </w:p>
    <w:p>
      <w:pPr>
        <w:spacing w:before="0" w:after="200"/>
      </w:pPr>
      <w:r>
        <w:rPr>
          <w:rFonts w:ascii="微软雅黑" w:hAnsi="微软雅黑" w:eastAsia="微软雅黑"/>
          <w:b/>
          <w:color w:val="3D405B"/>
          <w:sz w:val="36"/>
        </w:rPr>
        <w:t>目  录</w:t>
      </w:r>
    </w:p>
    <w:p>
      <w:pPr>
        <w:spacing w:before="80" w:after="80"/>
      </w:pPr>
      <w:r>
        <w:rPr>
          <w:rFonts w:ascii="微软雅黑" w:hAnsi="微软雅黑" w:eastAsia="微软雅黑"/>
          <w:b w:val="0"/>
          <w:color w:val="1A1A2E"/>
          <w:sz w:val="22"/>
        </w:rPr>
        <w:t>执行摘要  •••  3</w:t>
      </w:r>
    </w:p>
    <w:p>
      <w:pPr>
        <w:spacing w:before="80" w:after="80"/>
      </w:pPr>
      <w:r>
        <w:rPr>
          <w:rFonts w:ascii="微软雅黑" w:hAnsi="微软雅黑" w:eastAsia="微软雅黑"/>
          <w:b w:val="0"/>
          <w:color w:val="1A1A2E"/>
          <w:sz w:val="22"/>
        </w:rPr>
        <w:t>第一部分：龙岩分行汇报要点分析  •••  4</w:t>
      </w:r>
    </w:p>
    <w:p>
      <w:pPr>
        <w:spacing w:before="80" w:after="80"/>
      </w:pPr>
      <w:r>
        <w:rPr>
          <w:rFonts w:ascii="微软雅黑" w:hAnsi="微软雅黑" w:eastAsia="微软雅黑"/>
          <w:b w:val="0"/>
          <w:color w:val="1A1A2E"/>
          <w:sz w:val="22"/>
        </w:rPr>
        <w:t>第二部分：第一性原理拆解  •••  6</w:t>
      </w:r>
    </w:p>
    <w:p>
      <w:pPr>
        <w:spacing w:before="80" w:after="80"/>
      </w:pPr>
      <w:r>
        <w:rPr>
          <w:rFonts w:ascii="微软雅黑" w:hAnsi="微软雅黑" w:eastAsia="微软雅黑"/>
          <w:b w:val="0"/>
          <w:color w:val="1A1A2E"/>
          <w:sz w:val="22"/>
        </w:rPr>
        <w:t>第三部分：上海地区产业分析  •••  8</w:t>
      </w:r>
    </w:p>
    <w:p>
      <w:pPr>
        <w:spacing w:before="80" w:after="80"/>
      </w:pPr>
      <w:r>
        <w:rPr>
          <w:rFonts w:ascii="微软雅黑" w:hAnsi="微软雅黑" w:eastAsia="微软雅黑"/>
          <w:b w:val="0"/>
          <w:color w:val="1A1A2E"/>
          <w:sz w:val="22"/>
        </w:rPr>
        <w:t>第四部分：上海地区产业金融布局建议  •••  10</w:t>
      </w:r>
    </w:p>
    <w:p>
      <w:pPr>
        <w:spacing w:before="80" w:after="80"/>
      </w:pPr>
      <w:r>
        <w:rPr>
          <w:rFonts w:ascii="微软雅黑" w:hAnsi="微软雅黑" w:eastAsia="微软雅黑"/>
          <w:b w:val="0"/>
          <w:color w:val="1A1A2E"/>
          <w:sz w:val="22"/>
        </w:rPr>
        <w:t>结论  •••  13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微软雅黑" w:hAnsi="微软雅黑" w:eastAsia="微软雅黑"/>
          <w:b/>
          <w:color w:val="3D405B"/>
          <w:sz w:val="32"/>
        </w:rPr>
        <w:t>执行摘要</w:t>
      </w:r>
    </w:p>
    <w:p>
      <w:pPr>
        <w:spacing w:before="80" w:after="120" w:line="320" w:lineRule="exact"/>
      </w:pPr>
      <w:r>
        <w:rPr>
          <w:rFonts w:ascii="微软雅黑" w:hAnsi="微软雅黑" w:eastAsia="微软雅黑"/>
          <w:b w:val="0"/>
          <w:color w:val="1A1A2E"/>
          <w:sz w:val="22"/>
        </w:rPr>
        <w:t>本报告基于龙岩分行《产业金融发展思路汇报》（练文锋，2026年4月）以及兴业银行上海分行《生物医药产业金融服务方案》，运用第一性原理方法论，对产业金融的核心逻辑进行拆解，并就上海地区产业金融布局提出系统性建议。</w:t>
      </w:r>
    </w:p>
    <w:p>
      <w:pPr>
        <w:spacing w:before="80" w:after="120" w:line="320" w:lineRule="exact"/>
      </w:pPr>
      <w:r>
        <w:rPr>
          <w:rFonts w:ascii="微软雅黑" w:hAnsi="微软雅黑" w:eastAsia="微软雅黑"/>
          <w:b w:val="0"/>
          <w:color w:val="1A1A2E"/>
          <w:sz w:val="22"/>
        </w:rPr>
        <w:t>核心发现：龙岩分行的成功经验可归结为“腾笼换鸟”战略——三年压降36.2亿元地产与平台融资，置换出68亿元产业贷款，21条产业链客户贷款余额183亿元、占比达88%。这一打法揭示了产业金融的本质规律：资金应追随产业现金流，而非抵押物。</w:t>
      </w:r>
    </w:p>
    <w:p>
      <w:pPr>
        <w:spacing w:before="80" w:after="120" w:line="320" w:lineRule="exact"/>
      </w:pPr>
      <w:r>
        <w:rPr>
          <w:rFonts w:ascii="微软雅黑" w:hAnsi="微软雅黑" w:eastAsia="微软雅黑"/>
          <w:b w:val="0"/>
          <w:color w:val="1A1A2E"/>
          <w:sz w:val="22"/>
        </w:rPr>
        <w:t>上海与龙岩代表两种截然不同的产业金融范式：龙岩是“资源型”，核心痛点在账期错配与价格波动；上海是“创新型”，核心痛点在研发阶段资金饥渴与轻资产矛盾。金融工具适配逻辑因此根本不同。</w:t>
      </w:r>
    </w:p>
    <w:p>
      <w:pPr>
        <w:spacing w:before="80" w:after="120" w:line="320" w:lineRule="exact"/>
      </w:pPr>
      <w:r>
        <w:rPr>
          <w:rFonts w:ascii="微软雅黑" w:hAnsi="微软雅黑" w:eastAsia="微软雅黑"/>
          <w:b w:val="0"/>
          <w:color w:val="1A1A2E"/>
          <w:sz w:val="22"/>
        </w:rPr>
        <w:t>核心建议：上海产业金融应采用“以投行思维做商行业务”的策略——用股权收益覆盖研发风险，用供应链金融锁定产业现金流，用临港/张江等政策红利区做批量获客入口。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81B29A"/>
          <w:sz w:val="24"/>
        </w:rPr>
        <w:t>核心数据速览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3969"/>
            <w:shd w:fill="3D405B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5669"/>
            <w:shd w:fill="3D405B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数值</w:t>
            </w:r>
          </w:p>
        </w:tc>
      </w:tr>
      <w:tr>
        <w:tc>
          <w:tcPr>
            <w:tcW w:type="dxa" w:w="3969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龙岩六大产业贷款余额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68亿元（2025年末）</w:t>
            </w:r>
          </w:p>
        </w:tc>
      </w:tr>
      <w:tr>
        <w:tc>
          <w:tcPr>
            <w:tcW w:type="dxa" w:w="3969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十五五目标（2030年）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500亿元（翻一番）</w:t>
            </w:r>
          </w:p>
        </w:tc>
      </w:tr>
      <w:tr>
        <w:tc>
          <w:tcPr>
            <w:tcW w:type="dxa" w:w="3969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上海生物医药产业规模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突破1万亿元（2025年）</w:t>
            </w:r>
          </w:p>
        </w:tc>
      </w:tr>
      <w:tr>
        <w:tc>
          <w:tcPr>
            <w:tcW w:type="dxa" w:w="3969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张江药谷企业数量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2300+家</w:t>
            </w:r>
          </w:p>
        </w:tc>
      </w:tr>
    </w:tbl>
    <w:p>
      <w:r>
        <w:rPr>
          <w:rFonts w:ascii="微软雅黑" w:hAnsi="微软雅黑" w:eastAsia="微软雅黑"/>
          <w:b w:val="0"/>
          <w:color w:val="A8A8A8"/>
          <w:sz w:val="18"/>
        </w:rPr>
        <w:t>表1：核心数据速览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微软雅黑" w:hAnsi="微软雅黑" w:eastAsia="微软雅黑"/>
          <w:b/>
          <w:color w:val="3D405B"/>
          <w:sz w:val="32"/>
        </w:rPr>
        <w:t>第一部分：龙岩分行汇报要点分析</w:t>
      </w: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color w:val="3D405B"/>
          <w:sz w:val="26"/>
        </w:rPr>
        <w:t>一、龙岩“2+4”产业体系</w:t>
      </w:r>
    </w:p>
    <w:p>
      <w:pPr>
        <w:spacing w:before="80" w:after="120" w:line="320" w:lineRule="exact"/>
      </w:pPr>
      <w:r>
        <w:rPr>
          <w:rFonts w:ascii="微软雅黑" w:hAnsi="微软雅黑" w:eastAsia="微软雅黑"/>
          <w:b w:val="0"/>
          <w:color w:val="1A1A2E"/>
          <w:sz w:val="22"/>
        </w:rPr>
        <w:t>龙岩市“十五五”期间工业产业体系由2大支柱产业和4大战略性新兴产业构成：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417"/>
            <w:shd w:fill="3D405B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1587"/>
            <w:shd w:fill="3D405B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产业名称</w:t>
            </w:r>
          </w:p>
        </w:tc>
        <w:tc>
          <w:tcPr>
            <w:tcW w:type="dxa" w:w="1984"/>
            <w:shd w:fill="3D405B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2025年产值（亿元）</w:t>
            </w:r>
          </w:p>
        </w:tc>
        <w:tc>
          <w:tcPr>
            <w:tcW w:type="dxa" w:w="1984"/>
            <w:shd w:fill="3D405B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我行授信（亿元）</w:t>
            </w:r>
          </w:p>
        </w:tc>
        <w:tc>
          <w:tcPr>
            <w:tcW w:type="dxa" w:w="1417"/>
            <w:shd w:fill="3D405B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用信占比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支柱产业</w:t>
            </w:r>
          </w:p>
        </w:tc>
        <w:tc>
          <w:tcPr>
            <w:tcW w:type="dxa" w:w="1587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有色金属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1512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162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10%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支柱产业</w:t>
            </w:r>
          </w:p>
        </w:tc>
        <w:tc>
          <w:tcPr>
            <w:tcW w:type="dxa" w:w="1587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机械装备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920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553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29%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新兴产业</w:t>
            </w:r>
          </w:p>
        </w:tc>
        <w:tc>
          <w:tcPr>
            <w:tcW w:type="dxa" w:w="1587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新材料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280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71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18%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新兴产业</w:t>
            </w:r>
          </w:p>
        </w:tc>
        <w:tc>
          <w:tcPr>
            <w:tcW w:type="dxa" w:w="1587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新能源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240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47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20%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新兴产业</w:t>
            </w:r>
          </w:p>
        </w:tc>
        <w:tc>
          <w:tcPr>
            <w:tcW w:type="dxa" w:w="1587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电子信息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150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34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25%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新兴产业</w:t>
            </w:r>
          </w:p>
        </w:tc>
        <w:tc>
          <w:tcPr>
            <w:tcW w:type="dxa" w:w="1587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节能环保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20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13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64%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合计</w:t>
            </w:r>
          </w:p>
        </w:tc>
        <w:tc>
          <w:tcPr>
            <w:tcW w:type="dxa" w:w="1587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—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3122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880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—</w:t>
            </w:r>
          </w:p>
        </w:tc>
      </w:tr>
    </w:tbl>
    <w:p>
      <w:r>
        <w:rPr>
          <w:rFonts w:ascii="微软雅黑" w:hAnsi="微软雅黑" w:eastAsia="微软雅黑"/>
          <w:b w:val="0"/>
          <w:color w:val="A8A8A8"/>
          <w:sz w:val="18"/>
        </w:rPr>
        <w:t>表2：龙岩市“2+4”产业体系核心数据（来源：龙岩分行汇报）</w:t>
      </w: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color w:val="3D405B"/>
          <w:sz w:val="26"/>
        </w:rPr>
        <w:t>二、核心打法：腾笼换鸟</w:t>
      </w:r>
    </w:p>
    <w:p>
      <w:pPr>
        <w:spacing w:before="80" w:after="120" w:line="320" w:lineRule="exact"/>
      </w:pPr>
      <w:r>
        <w:rPr>
          <w:rFonts w:ascii="微软雅黑" w:hAnsi="微软雅黑" w:eastAsia="微软雅黑"/>
          <w:b w:val="0"/>
          <w:color w:val="1A1A2E"/>
          <w:sz w:val="22"/>
        </w:rPr>
        <w:t>龙岩分行的战略核心在于主动压降高风险资产，置换为产业资产：</w:t>
      </w:r>
    </w:p>
    <w:p>
      <w:pPr>
        <w:pStyle w:val="ListBullet"/>
        <w:spacing w:before="40" w:after="40"/>
      </w:pPr>
    </w:p>
    <w:p>
      <w:pPr>
        <w:pStyle w:val="ListBullet"/>
        <w:spacing w:before="40" w:after="40"/>
      </w:pPr>
    </w:p>
    <w:p>
      <w:pPr>
        <w:pStyle w:val="ListBullet"/>
        <w:spacing w:before="40" w:after="40"/>
      </w:pPr>
    </w:p>
    <w:p>
      <w:pPr>
        <w:pStyle w:val="ListBullet"/>
        <w:spacing w:before="40" w:after="40"/>
      </w:pP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color w:val="3D405B"/>
          <w:sz w:val="26"/>
        </w:rPr>
        <w:t>三、标杆案例：上杭金铜产业链</w:t>
      </w:r>
    </w:p>
    <w:p>
      <w:pPr>
        <w:spacing w:before="80" w:after="120" w:line="320" w:lineRule="exact"/>
      </w:pPr>
      <w:r>
        <w:rPr>
          <w:rFonts w:ascii="微软雅黑" w:hAnsi="微软雅黑" w:eastAsia="微软雅黑"/>
          <w:b w:val="0"/>
          <w:color w:val="1A1A2E"/>
          <w:sz w:val="22"/>
        </w:rPr>
        <w:t>分行打造了可复制的产业链金融服务标杆——上杭金铜及新材料产业集群：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701"/>
            <w:shd w:fill="3D405B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6803"/>
            <w:shd w:fill="3D405B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数值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服务客户数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59户（含金铜产业链40户、新材料26户）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累计授信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60亿元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开户合作率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近90%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授信覆盖率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超62%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核心方法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“服务一个龙头、带动一条链条、激活一片生态”</w:t>
            </w:r>
          </w:p>
        </w:tc>
      </w:tr>
    </w:tbl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color w:val="3D405B"/>
          <w:sz w:val="26"/>
        </w:rPr>
        <w:t>四、十五五目标规划</w:t>
      </w:r>
    </w:p>
    <w:p>
      <w:pPr>
        <w:spacing w:before="80" w:after="120" w:line="320" w:lineRule="exact"/>
      </w:pPr>
      <w:r>
        <w:rPr>
          <w:rFonts w:ascii="微软雅黑" w:hAnsi="微软雅黑" w:eastAsia="微软雅黑"/>
          <w:b w:val="0"/>
          <w:color w:val="1A1A2E"/>
          <w:sz w:val="22"/>
        </w:rPr>
        <w:t>分行制定了明确的量化目标：</w:t>
      </w:r>
    </w:p>
    <w:p>
      <w:pPr>
        <w:pStyle w:val="ListBullet"/>
        <w:spacing w:before="40" w:after="40"/>
      </w:pPr>
    </w:p>
    <w:p>
      <w:pPr>
        <w:pStyle w:val="ListBullet"/>
        <w:spacing w:before="40" w:after="40"/>
      </w:pPr>
    </w:p>
    <w:p>
      <w:pPr>
        <w:pStyle w:val="ListBullet"/>
        <w:spacing w:before="40" w:after="4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微软雅黑" w:hAnsi="微软雅黑" w:eastAsia="微软雅黑"/>
          <w:b/>
          <w:color w:val="3D405B"/>
          <w:sz w:val="32"/>
        </w:rPr>
        <w:t>第二部分：第一性原理拆解</w:t>
      </w: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color w:val="3D405B"/>
          <w:sz w:val="26"/>
        </w:rPr>
        <w:t>一、产业金融的本质规律</w:t>
      </w:r>
    </w:p>
    <w:p>
      <w:pPr>
        <w:spacing w:before="80" w:after="120" w:line="320" w:lineRule="exact"/>
      </w:pPr>
      <w:r>
        <w:rPr>
          <w:rFonts w:ascii="微软雅黑" w:hAnsi="微软雅黑" w:eastAsia="微软雅黑"/>
          <w:b w:val="0"/>
          <w:color w:val="1A1A2E"/>
          <w:sz w:val="22"/>
        </w:rPr>
        <w:t>从第一性原理出发，金融的核心功能是跨时空配置资金。产业金融的根本逻辑在于：识别产业价值链中谁在占用谁的资金，由此形成谁的负债，银行服务那个“资金缺口节点”。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3D405B"/>
          <w:sz w:val="24"/>
        </w:rPr>
        <w:t>资金缺口节点分析框架：</w:t>
      </w:r>
    </w:p>
    <w:p>
      <w:pPr>
        <w:spacing w:before="80" w:after="120" w:line="320" w:lineRule="exact"/>
      </w:pPr>
      <w:r>
        <w:rPr>
          <w:rFonts w:ascii="微软雅黑" w:hAnsi="微软雅黑" w:eastAsia="微软雅黑"/>
          <w:b w:val="0"/>
          <w:color w:val="1A1A2E"/>
          <w:sz w:val="22"/>
        </w:rPr>
        <w:t>任何产业都可以用这个框架拆解：原料采购占压资金（上游）→ 生产加工占压资金（中游）→ 销售回款慢（下游）→ 谁最缺钱，谁就是银行的客户。</w:t>
      </w: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color w:val="3D405B"/>
          <w:sz w:val="26"/>
        </w:rPr>
        <w:t>二、龙岩模式与上海模式的本质差异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701"/>
            <w:shd w:fill="3D405B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3685"/>
            <w:shd w:fill="3D405B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龙岩（资源型）</w:t>
            </w:r>
          </w:p>
        </w:tc>
        <w:tc>
          <w:tcPr>
            <w:tcW w:type="dxa" w:w="3685"/>
            <w:shd w:fill="3D405B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上海（创新型）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代表产业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有色金属、机械装备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生物医药、集成电路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资金缺口节点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采掘/加工环节占压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研发阶段最缺钱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核心风险来源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大宗商品价格周期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研发失败/政策变更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核心抓手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核心企业信用穿透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管线估值/订单确权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适配金融工具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供应链票据+保理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投贷联动+专利质押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盈利模型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利差为主+结算沉淀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利息+股权收益+托管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风控逻辑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盯住抵押物+核心企业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盯住技术里程碑+估值</w:t>
            </w:r>
          </w:p>
        </w:tc>
      </w:tr>
    </w:tbl>
    <w:p>
      <w:r>
        <w:rPr>
          <w:rFonts w:ascii="微软雅黑" w:hAnsi="微软雅黑" w:eastAsia="微软雅黑"/>
          <w:b w:val="0"/>
          <w:color w:val="A8A8A8"/>
          <w:sz w:val="18"/>
        </w:rPr>
        <w:t>表3：龙岩模式与上海模式第一性原理对比</w:t>
      </w: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color w:val="3D405B"/>
          <w:sz w:val="26"/>
        </w:rPr>
        <w:t>三、产业金融的成功公式</w:t>
      </w:r>
    </w:p>
    <w:p>
      <w:pPr>
        <w:spacing w:before="80" w:after="120" w:line="320" w:lineRule="exact"/>
      </w:pPr>
      <w:r>
        <w:rPr>
          <w:rFonts w:ascii="微软雅黑" w:hAnsi="微软雅黑" w:eastAsia="微软雅黑"/>
          <w:b w:val="0"/>
          <w:color w:val="1A1A2E"/>
          <w:sz w:val="22"/>
        </w:rPr>
        <w:t>综合龙岩经验，产业金融成功可以提炼为以下公式：</w:t>
      </w:r>
    </w:p>
    <w:p>
      <w:pPr>
        <w:spacing w:before="160" w:after="80"/>
        <w:jc w:val="center"/>
      </w:pPr>
      <w:r>
        <w:rPr>
          <w:rFonts w:ascii="微软雅黑" w:hAnsi="微软雅黑" w:eastAsia="微软雅黑"/>
          <w:b/>
          <w:color w:val="81B29A"/>
          <w:sz w:val="28"/>
        </w:rPr>
        <w:t>产业金融成功 = 锁定产业链核心企业 × 全链条渗透 × 综合收益覆盖风险</w:t>
      </w:r>
    </w:p>
    <w:p>
      <w:pPr>
        <w:spacing w:before="80" w:after="120" w:line="320" w:lineRule="exact"/>
      </w:pPr>
      <w:r>
        <w:rPr>
          <w:rFonts w:ascii="微软雅黑" w:hAnsi="微软雅黑" w:eastAsia="微软雅黑"/>
          <w:b w:val="0"/>
          <w:color w:val="1A1A2E"/>
          <w:sz w:val="22"/>
        </w:rPr>
        <w:t>三个乘数项缺一不可：</w:t>
      </w:r>
    </w:p>
    <w:p>
      <w:pPr>
        <w:pStyle w:val="ListBullet"/>
        <w:spacing w:before="40" w:after="40"/>
      </w:pPr>
    </w:p>
    <w:p>
      <w:pPr>
        <w:pStyle w:val="ListBullet"/>
        <w:spacing w:before="40" w:after="40"/>
      </w:pPr>
    </w:p>
    <w:p>
      <w:pPr>
        <w:pStyle w:val="ListBullet"/>
        <w:spacing w:before="40" w:after="4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微软雅黑" w:hAnsi="微软雅黑" w:eastAsia="微软雅黑"/>
          <w:b/>
          <w:color w:val="3D405B"/>
          <w:sz w:val="32"/>
        </w:rPr>
        <w:t>第三部分：上海地区产业分析</w:t>
      </w: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color w:val="3D405B"/>
          <w:sz w:val="26"/>
        </w:rPr>
        <w:t>一、上海生物医药产业全景</w:t>
      </w:r>
    </w:p>
    <w:p>
      <w:pPr>
        <w:spacing w:before="80" w:after="120" w:line="320" w:lineRule="exact"/>
      </w:pPr>
      <w:r>
        <w:rPr>
          <w:rFonts w:ascii="微软雅黑" w:hAnsi="微软雅黑" w:eastAsia="微软雅黑"/>
          <w:b w:val="0"/>
          <w:color w:val="1A1A2E"/>
          <w:sz w:val="22"/>
        </w:rPr>
        <w:t>上海生物医药产业2025年正式迈入万亿级产业集群，成为中国生物医药产业高地。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835"/>
            <w:shd w:fill="3D405B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5669"/>
            <w:shd w:fill="3D405B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数据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2025年产业规模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突破1万亿元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2024年产业规模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9847亿元（较上年+510亿元）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年复合增长率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8.94%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生物医药企业数量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超过4000家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科创板上市企业数量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全国第一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张江药谷企业数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2300+家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临港生命蓝湾企业数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100+家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全国生物医药人才占比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约1/3</w:t>
            </w:r>
          </w:p>
        </w:tc>
      </w:tr>
    </w:tbl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color w:val="3D405B"/>
          <w:sz w:val="26"/>
        </w:rPr>
        <w:t>二、产业链结构与资金缺口分析</w:t>
      </w:r>
    </w:p>
    <w:p>
      <w:pPr>
        <w:spacing w:before="80" w:after="120" w:line="320" w:lineRule="exact"/>
      </w:pPr>
      <w:r>
        <w:rPr>
          <w:rFonts w:ascii="微软雅黑" w:hAnsi="微软雅黑" w:eastAsia="微软雅黑"/>
          <w:b w:val="0"/>
          <w:color w:val="1A1A2E"/>
          <w:sz w:val="22"/>
        </w:rPr>
        <w:t>上海生物医药产业链可细分为以下环节，各环节资金缺口特征各异：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587"/>
            <w:shd w:fill="3D405B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产业链环节</w:t>
            </w:r>
          </w:p>
        </w:tc>
        <w:tc>
          <w:tcPr>
            <w:tcW w:type="dxa" w:w="1984"/>
            <w:shd w:fill="3D405B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代表企业</w:t>
            </w:r>
          </w:p>
        </w:tc>
        <w:tc>
          <w:tcPr>
            <w:tcW w:type="dxa" w:w="3118"/>
            <w:shd w:fill="3D405B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核心痛点</w:t>
            </w:r>
          </w:p>
        </w:tc>
        <w:tc>
          <w:tcPr>
            <w:tcW w:type="dxa" w:w="2268"/>
            <w:shd w:fill="3D405B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适配金融工具</w:t>
            </w:r>
          </w:p>
        </w:tc>
      </w:tr>
      <w:tr>
        <w:tc>
          <w:tcPr>
            <w:tcW w:type="dxa" w:w="1587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创新药物研发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君实生物、映恩生物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研发周期长（5-10年）、轻资产、商业化前无现金流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投贷联动、BD交易融资</w:t>
            </w:r>
          </w:p>
        </w:tc>
      </w:tr>
      <w:tr>
        <w:tc>
          <w:tcPr>
            <w:tcW w:type="dxa" w:w="1587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CRO（研发外包）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药明康德、美迪西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产能建设投入大、客户质量为王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供应链金融、授信池</w:t>
            </w:r>
          </w:p>
        </w:tc>
      </w:tr>
      <w:tr>
        <w:tc>
          <w:tcPr>
            <w:tcW w:type="dxa" w:w="1587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CDMO（生产外包）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和元生物、凯莱英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重资产、产能利用率关键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设备融资租赁、并购贷款</w:t>
            </w:r>
          </w:p>
        </w:tc>
      </w:tr>
      <w:tr>
        <w:tc>
          <w:tcPr>
            <w:tcW w:type="dxa" w:w="1587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高端医疗器械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联影医疗、微创机器人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技术壁垒高、国产替代空间大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买方信贷、设备融资租赁</w:t>
            </w:r>
          </w:p>
        </w:tc>
      </w:tr>
      <w:tr>
        <w:tc>
          <w:tcPr>
            <w:tcW w:type="dxa" w:w="1587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细胞与基因治疗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复星凯特、药明巨诺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前沿赛道、监管创新、产业化初期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专项产业基金+银行授信联动</w:t>
            </w:r>
          </w:p>
        </w:tc>
      </w:tr>
    </w:tbl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color w:val="3D405B"/>
          <w:sz w:val="26"/>
        </w:rPr>
        <w:t>三、核心企业画像与金融需求</w:t>
      </w:r>
    </w:p>
    <w:p>
      <w:pPr>
        <w:spacing w:before="80" w:after="120" w:line="320" w:lineRule="exact"/>
      </w:pPr>
      <w:r>
        <w:rPr>
          <w:rFonts w:ascii="微软雅黑" w:hAnsi="微软雅黑" w:eastAsia="微软雅黑"/>
          <w:b w:val="0"/>
          <w:color w:val="1A1A2E"/>
          <w:sz w:val="22"/>
        </w:rPr>
        <w:t>创新药企领域（高风险高回报，适合投贷联动）：</w:t>
      </w:r>
    </w:p>
    <w:p>
      <w:pPr>
        <w:pStyle w:val="ListBullet"/>
        <w:spacing w:before="40" w:after="40"/>
      </w:pPr>
    </w:p>
    <w:p>
      <w:pPr>
        <w:pStyle w:val="ListBullet"/>
        <w:spacing w:before="40" w:after="40"/>
      </w:pPr>
    </w:p>
    <w:p>
      <w:pPr>
        <w:pStyle w:val="ListBullet"/>
        <w:spacing w:before="40" w:after="40"/>
      </w:pPr>
    </w:p>
    <w:p>
      <w:pPr>
        <w:spacing w:before="80" w:after="120" w:line="320" w:lineRule="exact"/>
      </w:pPr>
      <w:r>
        <w:rPr>
          <w:rFonts w:ascii="微软雅黑" w:hAnsi="微软雅黑" w:eastAsia="微软雅黑"/>
          <w:b w:val="0"/>
          <w:color w:val="1A1A2E"/>
          <w:sz w:val="22"/>
        </w:rPr>
        <w:t>CRO/CDMO领域（现金流相对稳定，适合供应链金融）：</w:t>
      </w:r>
    </w:p>
    <w:p>
      <w:pPr>
        <w:pStyle w:val="ListBullet"/>
        <w:spacing w:before="40" w:after="40"/>
      </w:pPr>
    </w:p>
    <w:p>
      <w:pPr>
        <w:pStyle w:val="ListBullet"/>
        <w:spacing w:before="40" w:after="40"/>
      </w:pP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color w:val="3D405B"/>
          <w:sz w:val="26"/>
        </w:rPr>
        <w:t>四、政策红利区分析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701"/>
            <w:shd w:fill="3D405B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政策区域</w:t>
            </w:r>
          </w:p>
        </w:tc>
        <w:tc>
          <w:tcPr>
            <w:tcW w:type="dxa" w:w="3969"/>
            <w:shd w:fill="3D405B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核心政策红利</w:t>
            </w:r>
          </w:p>
        </w:tc>
        <w:tc>
          <w:tcPr>
            <w:tcW w:type="dxa" w:w="3402"/>
            <w:shd w:fill="3D405B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适合业务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临港新片区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细胞与基因治疗创新监管政策、国际多地准入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跨境并购贷款、CGT专项融资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张江药谷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创新药物绿色通道、首批国产替代支持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投贷联动、专利质押融资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外高桥保税区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离岸贸易、国际贸易融资便利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离岸保理、国际信用证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东方美谷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美丽健康产业注册人制度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消费金融、产业链供应链金融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微软雅黑" w:hAnsi="微软雅黑" w:eastAsia="微软雅黑"/>
          <w:b/>
          <w:color w:val="3D405B"/>
          <w:sz w:val="32"/>
        </w:rPr>
        <w:t>第四部分：上海地区产业金融布局建议</w:t>
      </w: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color w:val="3D405B"/>
          <w:sz w:val="26"/>
        </w:rPr>
        <w:t>一、总体策略：以投行思维做商行业务</w:t>
      </w:r>
    </w:p>
    <w:p>
      <w:pPr>
        <w:spacing w:before="80" w:after="120" w:line="320" w:lineRule="exact"/>
      </w:pPr>
      <w:r>
        <w:rPr>
          <w:rFonts w:ascii="微软雅黑" w:hAnsi="微软雅黑" w:eastAsia="微软雅黑"/>
          <w:b w:val="0"/>
          <w:color w:val="1A1A2E"/>
          <w:sz w:val="22"/>
        </w:rPr>
        <w:t>上海产业金融与龙岩的资源型打法有本质区别，必须采用“以投行思维做商行业务”的策略：</w:t>
      </w:r>
    </w:p>
    <w:p>
      <w:pPr>
        <w:pStyle w:val="ListBullet"/>
        <w:spacing w:before="40" w:after="40"/>
      </w:pPr>
    </w:p>
    <w:p>
      <w:pPr>
        <w:pStyle w:val="ListBullet"/>
        <w:spacing w:before="40" w:after="40"/>
      </w:pPr>
    </w:p>
    <w:p>
      <w:pPr>
        <w:pStyle w:val="ListBullet"/>
        <w:spacing w:before="40" w:after="40"/>
      </w:pP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color w:val="3D405B"/>
          <w:sz w:val="26"/>
        </w:rPr>
        <w:t>二、分片区布局策略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417"/>
            <w:shd w:fill="3D405B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片区</w:t>
            </w:r>
          </w:p>
        </w:tc>
        <w:tc>
          <w:tcPr>
            <w:tcW w:type="dxa" w:w="2268"/>
            <w:shd w:fill="3D405B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核心策略</w:t>
            </w:r>
          </w:p>
        </w:tc>
        <w:tc>
          <w:tcPr>
            <w:tcW w:type="dxa" w:w="2551"/>
            <w:shd w:fill="3D405B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重点客户</w:t>
            </w:r>
          </w:p>
        </w:tc>
        <w:tc>
          <w:tcPr>
            <w:tcW w:type="dxa" w:w="2721"/>
            <w:shd w:fill="3D405B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主打产品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张江药谷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锁定ADC/GLP-1/AI制药前沿赛道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君实生物、映恩生物、英矽智能</w:t>
            </w:r>
          </w:p>
        </w:tc>
        <w:tc>
          <w:tcPr>
            <w:tcW w:type="dxa" w:w="2721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投贷联动、明股实债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临港生命蓝湾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CGT+生物制品创新监管试点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复星凯特、药明巨诺、和元生物</w:t>
            </w:r>
          </w:p>
        </w:tc>
        <w:tc>
          <w:tcPr>
            <w:tcW w:type="dxa" w:w="2721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跨境并购贷款、专项产业基金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外高桥保税区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离岸贸易+国际贸易融资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全球顶尖药企中国总部、进口商</w:t>
            </w:r>
          </w:p>
        </w:tc>
        <w:tc>
          <w:tcPr>
            <w:tcW w:type="dxa" w:w="2721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离岸保理、国际信用证、福费廷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CRO/CDMO集群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锁定现金流稳定的头部客户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药明康德、泰格医药、美迪西</w:t>
            </w:r>
          </w:p>
        </w:tc>
        <w:tc>
          <w:tcPr>
            <w:tcW w:type="dxa" w:w="2721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供应链票据、授信池、现金管理</w:t>
            </w:r>
          </w:p>
        </w:tc>
      </w:tr>
    </w:tbl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color w:val="3D405B"/>
          <w:sz w:val="26"/>
        </w:rPr>
        <w:t>三、产品创新方向</w:t>
      </w:r>
    </w:p>
    <w:p>
      <w:pPr>
        <w:spacing w:before="80" w:after="120" w:line="320" w:lineRule="exact"/>
      </w:pPr>
      <w:r>
        <w:rPr>
          <w:rFonts w:ascii="微软雅黑" w:hAnsi="微软雅黑" w:eastAsia="微软雅黑"/>
          <w:b w:val="0"/>
          <w:color w:val="1A1A2E"/>
          <w:sz w:val="22"/>
        </w:rPr>
        <w:t>1. 科创金融产品（针对轻资产研发企业）：</w:t>
      </w:r>
    </w:p>
    <w:p>
      <w:pPr>
        <w:pStyle w:val="ListBullet"/>
        <w:spacing w:before="40" w:after="40"/>
      </w:pPr>
    </w:p>
    <w:p>
      <w:pPr>
        <w:pStyle w:val="ListBullet"/>
        <w:spacing w:before="40" w:after="40"/>
      </w:pPr>
    </w:p>
    <w:p>
      <w:pPr>
        <w:pStyle w:val="ListBullet"/>
        <w:spacing w:before="40" w:after="40"/>
      </w:pPr>
    </w:p>
    <w:p>
      <w:pPr>
        <w:spacing w:before="80" w:after="120" w:line="320" w:lineRule="exact"/>
      </w:pPr>
      <w:r>
        <w:rPr>
          <w:rFonts w:ascii="微软雅黑" w:hAnsi="微软雅黑" w:eastAsia="微软雅黑"/>
          <w:b w:val="0"/>
          <w:color w:val="1A1A2E"/>
          <w:sz w:val="22"/>
        </w:rPr>
        <w:t>2. 供应链金融产品（针对产业链上下游）：</w:t>
      </w:r>
    </w:p>
    <w:p>
      <w:pPr>
        <w:pStyle w:val="ListBullet"/>
        <w:spacing w:before="40" w:after="40"/>
      </w:pPr>
    </w:p>
    <w:p>
      <w:pPr>
        <w:pStyle w:val="ListBullet"/>
        <w:spacing w:before="40" w:after="40"/>
      </w:pPr>
    </w:p>
    <w:p>
      <w:pPr>
        <w:spacing w:before="80" w:after="120" w:line="320" w:lineRule="exact"/>
      </w:pPr>
      <w:r>
        <w:rPr>
          <w:rFonts w:ascii="微软雅黑" w:hAnsi="微软雅黑" w:eastAsia="微软雅黑"/>
          <w:b w:val="0"/>
          <w:color w:val="1A1A2E"/>
          <w:sz w:val="22"/>
        </w:rPr>
        <w:t>3. 跨境金融产品（针对国际化药企）：</w:t>
      </w:r>
    </w:p>
    <w:p>
      <w:pPr>
        <w:pStyle w:val="ListBullet"/>
        <w:spacing w:before="40" w:after="40"/>
      </w:pPr>
    </w:p>
    <w:p>
      <w:pPr>
        <w:pStyle w:val="ListBullet"/>
        <w:spacing w:before="40" w:after="40"/>
      </w:pP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color w:val="3D405B"/>
          <w:sz w:val="26"/>
        </w:rPr>
        <w:t>四、复制“龙岩上杭模式”到上海</w:t>
      </w:r>
    </w:p>
    <w:p>
      <w:pPr>
        <w:spacing w:before="80" w:after="120" w:line="320" w:lineRule="exact"/>
      </w:pPr>
      <w:r>
        <w:rPr>
          <w:rFonts w:ascii="微软雅黑" w:hAnsi="微软雅黑" w:eastAsia="微软雅黑"/>
          <w:b w:val="0"/>
          <w:color w:val="1A1A2E"/>
          <w:sz w:val="22"/>
        </w:rPr>
        <w:t>龙岩上杭模式的本质是：锁定1个链主龙头企业 → 穿透上下游中小客户 → 实现开户+授信+结算全覆盖。这套打法完全可复制到上海生物医药产业链：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417"/>
            <w:shd w:fill="3D405B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3685"/>
            <w:shd w:fill="3D405B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龙岩上杭模式</w:t>
            </w:r>
          </w:p>
        </w:tc>
        <w:tc>
          <w:tcPr>
            <w:tcW w:type="dxa" w:w="4252"/>
            <w:shd w:fill="3D405B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上海张江模式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锁定龙头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上杭金铜产业链链主</w:t>
            </w:r>
          </w:p>
        </w:tc>
        <w:tc>
          <w:tcPr>
            <w:tcW w:type="dxa" w:w="4252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张江药谷复宏汉霖/君实生物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穿透链条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59户上下游企业</w:t>
            </w:r>
          </w:p>
        </w:tc>
        <w:tc>
          <w:tcPr>
            <w:tcW w:type="dxa" w:w="4252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预计200+家CRO/CDMO/原料供应商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开户目标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近90%</w:t>
            </w:r>
          </w:p>
        </w:tc>
        <w:tc>
          <w:tcPr>
            <w:tcW w:type="dxa" w:w="4252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85%以上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授信覆盖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超62%</w:t>
            </w:r>
          </w:p>
        </w:tc>
        <w:tc>
          <w:tcPr>
            <w:tcW w:type="dxa" w:w="4252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目标60%以上</w:t>
            </w:r>
          </w:p>
        </w:tc>
      </w:tr>
    </w:tbl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color w:val="3D405B"/>
          <w:sz w:val="26"/>
        </w:rPr>
        <w:t>五、落地执行建议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850"/>
            <w:shd w:fill="3D405B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3118"/>
            <w:shd w:fill="3D405B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举措</w:t>
            </w:r>
          </w:p>
        </w:tc>
        <w:tc>
          <w:tcPr>
            <w:tcW w:type="dxa" w:w="2551"/>
            <w:shd w:fill="3D405B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参考龙岩模式</w:t>
            </w:r>
          </w:p>
        </w:tc>
        <w:tc>
          <w:tcPr>
            <w:tcW w:type="dxa" w:w="2551"/>
            <w:shd w:fill="3D405B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预计效果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P0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张江药谷生物医药专班（研究+营销+审批闭环）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四位一体专班体系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2026年落地首批50家客户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P0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临港生命蓝湾跨境并购贷款试点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并购贷款跨境经验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年内投放10亿元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P1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复制“上杭模式”到张江产业链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锁定1龙头→穿透全链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新增对公客户100+户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P1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搭建生物医药产业数字图谱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龙岩14条产业链图谱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精准画像+批量获客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P2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科创金融产品创新（专利质押+管线融资）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四懂两会产业铁军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color w:val="1A1A2E"/>
                <w:sz w:val="20"/>
              </w:rPr>
              <w:t>差异化竞争护城河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微软雅黑" w:hAnsi="微软雅黑" w:eastAsia="微软雅黑"/>
          <w:b/>
          <w:color w:val="3D405B"/>
          <w:sz w:val="32"/>
        </w:rPr>
        <w:t>结  论</w:t>
      </w:r>
    </w:p>
    <w:p>
      <w:pPr>
        <w:spacing w:before="160" w:after="160" w:line="360" w:lineRule="exact"/>
      </w:pPr>
      <w:r>
        <w:rPr>
          <w:rFonts w:ascii="微软雅黑" w:hAnsi="微软雅黑" w:eastAsia="微软雅黑"/>
          <w:b/>
          <w:color w:val="81B29A"/>
          <w:sz w:val="24"/>
        </w:rPr>
        <w:t>【结论1】</w:t>
      </w:r>
      <w:r>
        <w:rPr>
          <w:rFonts w:ascii="微软雅黑" w:hAnsi="微软雅黑" w:eastAsia="微软雅黑"/>
          <w:b w:val="0"/>
          <w:color w:val="1A1A2E"/>
          <w:sz w:val="22"/>
        </w:rPr>
        <w:t>龙岩分行的“腾笼换鸟”战略揭示了产业金融的第一性原理：资金应追随产业现金流，而非抵押物。龙岩三年压降36.2亿元高风险资产、五年内实现产业贷款翻番的经验，证明了主动的结构调整比被动的风险处置有更高的长期回报。</w:t>
      </w:r>
    </w:p>
    <w:p>
      <w:pPr>
        <w:spacing w:before="160" w:after="160" w:line="360" w:lineRule="exact"/>
      </w:pPr>
      <w:r>
        <w:rPr>
          <w:rFonts w:ascii="微软雅黑" w:hAnsi="微软雅黑" w:eastAsia="微软雅黑"/>
          <w:b/>
          <w:color w:val="81B29A"/>
          <w:sz w:val="24"/>
        </w:rPr>
        <w:t>【结论2】</w:t>
      </w:r>
      <w:r>
        <w:rPr>
          <w:rFonts w:ascii="微软雅黑" w:hAnsi="微软雅黑" w:eastAsia="微软雅黑"/>
          <w:b w:val="0"/>
          <w:color w:val="1A1A2E"/>
          <w:sz w:val="22"/>
        </w:rPr>
        <w:t>上海与龙岩代表两种截然不同的产业金融范式，但底层逻辑一致：识别产业价值链中的资金缺口节点，用适配的金融工具服务那个节点，并通过全链条渗透放大收益、分散风险。</w:t>
      </w:r>
    </w:p>
    <w:p>
      <w:pPr>
        <w:spacing w:before="160" w:after="160" w:line="360" w:lineRule="exact"/>
      </w:pPr>
      <w:r>
        <w:rPr>
          <w:rFonts w:ascii="微软雅黑" w:hAnsi="微软雅黑" w:eastAsia="微软雅黑"/>
          <w:b/>
          <w:color w:val="81B29A"/>
          <w:sz w:val="24"/>
        </w:rPr>
        <w:t>【结论3】</w:t>
      </w:r>
      <w:r>
        <w:rPr>
          <w:rFonts w:ascii="微软雅黑" w:hAnsi="微软雅黑" w:eastAsia="微软雅黑"/>
          <w:b w:val="0"/>
          <w:color w:val="1A1A2E"/>
          <w:sz w:val="22"/>
        </w:rPr>
        <w:t>上海生物医药产业已进入万亿级集群时代，张江药谷、临港生命蓝湾、外高桥保税区等政策红利区为银行提供了天然的批量获客入口。以投行思维做商行业务，用股权收益覆盖研发风险，是上海产业金融的核心破局点。</w:t>
      </w:r>
    </w:p>
    <w:p>
      <w:pPr>
        <w:spacing w:before="160" w:after="160" w:line="360" w:lineRule="exact"/>
      </w:pPr>
      <w:r>
        <w:rPr>
          <w:rFonts w:ascii="微软雅黑" w:hAnsi="微软雅黑" w:eastAsia="微软雅黑"/>
          <w:b/>
          <w:color w:val="81B29A"/>
          <w:sz w:val="24"/>
        </w:rPr>
        <w:t>【结论4】</w:t>
      </w:r>
      <w:r>
        <w:rPr>
          <w:rFonts w:ascii="微软雅黑" w:hAnsi="微软雅黑" w:eastAsia="微软雅黑"/>
          <w:b w:val="0"/>
          <w:color w:val="1A1A2E"/>
          <w:sz w:val="22"/>
        </w:rPr>
        <w:t>建议上海分行尽快启动生物医药产业专班建设，借鉴龙岩“四懂两会”人才体系和“四位一体”专班机制，优先在张江药谷和临港新片区建立标杆项目，形成可复制的上海模式。</w:t>
      </w:r>
    </w:p>
    <w:p>
      <w:pPr>
        <w:spacing w:before="600" w:after="120"/>
        <w:jc w:val="center"/>
      </w:pPr>
      <w:r>
        <w:rPr>
          <w:rFonts w:ascii="微软雅黑" w:hAnsi="微软雅黑" w:eastAsia="微软雅黑"/>
          <w:b w:val="0"/>
          <w:color w:val="A8A8A8"/>
          <w:sz w:val="20"/>
        </w:rPr>
        <w:t>────────────────────────────────────────</w:t>
      </w:r>
    </w:p>
    <w:p>
      <w:pPr>
        <w:spacing w:before="80" w:after="120"/>
        <w:jc w:val="center"/>
      </w:pPr>
      <w:r>
        <w:rPr>
          <w:rFonts w:ascii="微软雅黑" w:hAnsi="微软雅黑" w:eastAsia="微软雅黑"/>
          <w:b w:val="0"/>
          <w:color w:val="A8A8A8"/>
          <w:sz w:val="18"/>
        </w:rPr>
        <w:t>本报告由 CreditWiki 知识库 AI 分析生成 | 仅供参考，不构成投资建议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