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40" w:after="120"/>
      </w:pPr>
      <w:r>
        <w:t>数学重点资料</w:t>
      </w:r>
    </w:p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t>科目代码：301</w:t>
      </w:r>
    </w:p>
    <w:p>
      <w:pPr>
        <w:pStyle w:val="4"/>
        <w:jc w:val="center"/>
      </w:pPr>
      <w:r>
        <w:t>整理：幽弥狂</w:t>
      </w:r>
    </w:p>
    <w:p>
      <w:pPr>
        <w:pStyle w:val="4"/>
        <w:jc w:val="center"/>
      </w:pPr>
      <w:r>
        <w:t>手机：13812991101</w:t>
      </w:r>
    </w:p>
    <w:p>
      <w:pPr>
        <w:pStyle w:val="4"/>
        <w:jc w:val="center"/>
      </w:pPr>
      <w:r>
        <w:t>邮件：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22"/>
        </w:rPr>
        <w:t>1768478912@qq.com</w:t>
      </w:r>
      <w:r>
        <w:rPr>
          <w:rStyle w:val="22"/>
        </w:rPr>
        <w:fldChar w:fldCharType="end"/>
      </w:r>
    </w:p>
    <w:p>
      <w:pPr>
        <w:pStyle w:val="4"/>
        <w:jc w:val="center"/>
      </w:pPr>
      <w:r>
        <w:t>仓库：</w:t>
      </w:r>
      <w:r>
        <w:fldChar w:fldCharType="begin"/>
      </w:r>
      <w:r>
        <w:instrText xml:space="preserve"> HYPERLINK "https://github.com/JackeyLea/NJUCS" \h </w:instrText>
      </w:r>
      <w:r>
        <w:fldChar w:fldCharType="separate"/>
      </w:r>
      <w:r>
        <w:rPr>
          <w:rStyle w:val="22"/>
        </w:rPr>
        <w:t>https://github.com/JackeyLea/NJUCS</w:t>
      </w:r>
      <w:r>
        <w:rPr>
          <w:rStyle w:val="22"/>
        </w:rPr>
        <w:fldChar w:fldCharType="end"/>
      </w:r>
    </w:p>
    <w:p>
      <w:pPr>
        <w:pStyle w:val="4"/>
        <w:jc w:val="center"/>
      </w:pPr>
      <w:r>
        <w:t>日期：2019-10-20</w:t>
      </w:r>
    </w:p>
    <w:p>
      <w:pPr>
        <w:pStyle w:val="4"/>
        <w:jc w:val="center"/>
      </w:pPr>
      <w:r>
        <w:t>版本：2019.10.20</w:t>
      </w:r>
    </w:p>
    <w:p>
      <w:pPr>
        <w:pStyle w:val="4"/>
        <w:jc w:val="center"/>
      </w:pPr>
      <w:r>
        <w:t>内容：高等数学、线性代数、概率论与数理统计</w:t>
      </w: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both"/>
      </w:pPr>
    </w:p>
    <w:p>
      <w:pPr>
        <w:pStyle w:val="4"/>
        <w:jc w:val="center"/>
      </w:pPr>
      <w:r>
        <w:br w:type="page"/>
      </w:r>
    </w:p>
    <w:p>
      <w:pPr>
        <w:pStyle w:val="2"/>
        <w:jc w:val="center"/>
      </w:pPr>
      <w:r>
        <w:t>版本信息</w:t>
      </w:r>
    </w:p>
    <w:p>
      <w:pPr>
        <w:pStyle w:val="4"/>
        <w:jc w:val="center"/>
      </w:pPr>
    </w:p>
    <w:p>
      <w:pPr>
        <w:pStyle w:val="4"/>
        <w:jc w:val="left"/>
      </w:pPr>
      <w:r>
        <w:t>2019.10.20：</w:t>
      </w:r>
    </w:p>
    <w:p>
      <w:pPr>
        <w:pStyle w:val="4"/>
        <w:jc w:val="left"/>
      </w:pPr>
      <w:r>
        <w:t>初始化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  <w:r>
        <w:br w:type="page"/>
      </w:r>
    </w:p>
    <w:p>
      <w:pPr>
        <w:pStyle w:val="2"/>
        <w:jc w:val="center"/>
      </w:pPr>
      <w:r>
        <w:t>说明</w:t>
      </w:r>
    </w:p>
    <w:p>
      <w:pPr>
        <w:pStyle w:val="4"/>
        <w:jc w:val="left"/>
      </w:pPr>
    </w:p>
    <w:p>
      <w:pPr>
        <w:pStyle w:val="4"/>
        <w:jc w:val="left"/>
      </w:pPr>
      <w:r>
        <w:t>1、本文档优先考虑打印下来作为参考资料，在正式复习前、刷题前、冲刺前都要保证所有内容都烂熟于心</w:t>
      </w:r>
    </w:p>
    <w:p>
      <w:pPr>
        <w:pStyle w:val="4"/>
        <w:jc w:val="left"/>
      </w:pPr>
      <w:r>
        <w:t>2、本文档是github项目NJUCS（</w:t>
      </w:r>
      <w:r>
        <w:fldChar w:fldCharType="begin"/>
      </w:r>
      <w:r>
        <w:instrText xml:space="preserve"> HYPERLINK "https://github.com/JackeyLea/NJUCS" \h </w:instrText>
      </w:r>
      <w:r>
        <w:fldChar w:fldCharType="separate"/>
      </w:r>
      <w:r>
        <w:rPr>
          <w:rStyle w:val="22"/>
        </w:rPr>
        <w:t>https://github.com/JackeyLea/NJUCS</w:t>
      </w:r>
      <w:r>
        <w:rPr>
          <w:rStyle w:val="22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t>）的附属文档</w:t>
      </w:r>
      <w:r>
        <w:fldChar w:fldCharType="end"/>
      </w:r>
    </w:p>
    <w:p>
      <w:pPr>
        <w:pStyle w:val="4"/>
        <w:jc w:val="left"/>
      </w:pPr>
      <w:r>
        <w:t>3、文档包含定理、例题</w:t>
      </w:r>
    </w:p>
    <w:p>
      <w:pPr>
        <w:pStyle w:val="4"/>
        <w:jc w:val="left"/>
      </w:pPr>
      <w:r>
        <w:t>4、如有错误，欢迎联系我</w:t>
      </w:r>
    </w:p>
    <w:p>
      <w:pPr>
        <w:pStyle w:val="4"/>
        <w:jc w:val="left"/>
      </w:pPr>
    </w:p>
    <w:p>
      <w:pPr>
        <w:pStyle w:val="4"/>
        <w:jc w:val="left"/>
      </w:pPr>
      <w:r>
        <w:br w:type="page"/>
      </w:r>
    </w:p>
    <w:p>
      <w:pPr>
        <w:pStyle w:val="2"/>
        <w:jc w:val="center"/>
      </w:pPr>
      <w:r>
        <w:t>一、高等数学部分</w:t>
      </w:r>
    </w:p>
    <w:p>
      <w:pPr>
        <w:pStyle w:val="4"/>
      </w:pPr>
      <w:r>
        <w:t>1、等价无穷小（</w:t>
      </w:r>
      <m:oMath>
        <m:r>
          <m:rPr/>
          <w:rPr>
            <w:rFonts w:ascii="Cambria Math" w:hAnsi="Cambria Math"/>
          </w:rPr>
          <m:t>x→0</m:t>
        </m:r>
      </m:oMath>
      <w:r>
        <w:t>）</w:t>
      </w:r>
    </w:p>
    <w:p>
      <w:pPr>
        <w:pStyle w:val="4"/>
      </w:pPr>
      <m:oMath>
        <m:r>
          <m:rPr/>
          <w:rPr>
            <w:rFonts w:ascii="Cambria Math" w:hAnsi="Cambria Math"/>
          </w:rPr>
          <m:t>sinx∼x</m:t>
        </m:r>
      </m:oMath>
      <w:r>
        <w:t>，</w:t>
      </w:r>
      <m:oMath>
        <m:r>
          <m:rPr/>
          <w:rPr>
            <w:rFonts w:ascii="Cambria Math" w:hAnsi="Cambria Math"/>
          </w:rPr>
          <m:t>tanx∼x</m:t>
        </m:r>
      </m:oMath>
      <w:r>
        <w:t>，</w:t>
      </w:r>
      <m:oMath>
        <m:sSup>
          <m:sSupPr/>
          <m:e>
            <m:r>
              <m:rPr/>
              <w:rPr>
                <w:rFonts w:ascii="Cambria Math" w:hAnsi="Cambria Math"/>
              </w:rPr>
              <m:t>a</m:t>
            </m:r>
          </m:e>
          <m:sup>
            <m:r>
              <m:rPr/>
              <w:rPr>
                <w:rFonts w:ascii="Cambria Math" w:hAnsi="Cambria Math"/>
              </w:rPr>
              <m:t>x</m:t>
            </m:r>
          </m:sup>
        </m:sSup>
        <m:r>
          <m:rPr/>
          <w:rPr>
            <w:rFonts w:ascii="Cambria Math" w:hAnsi="Cambria Math"/>
          </w:rPr>
          <m:t>−1∼xlna</m:t>
        </m:r>
        <m:d>
          <m:dPr/>
          <m:e>
            <m:r>
              <m:rPr/>
              <w:rPr>
                <w:rFonts w:ascii="Cambria Math" w:hAnsi="Cambria Math"/>
              </w:rPr>
              <m:t>a&gt;0,a≠1</m:t>
            </m:r>
          </m:e>
        </m:d>
      </m:oMath>
      <w:r>
        <w:t>，</w:t>
      </w:r>
    </w:p>
    <w:p>
      <w:pPr>
        <w:pStyle w:val="4"/>
      </w:pPr>
      <m:oMath>
        <m:r>
          <m:rPr/>
          <w:rPr>
            <w:rFonts w:ascii="Cambria Math" w:hAnsi="Cambria Math"/>
          </w:rPr>
          <m:t>ln</m:t>
        </m:r>
        <m:d>
          <m:dPr/>
          <m:e>
            <m:r>
              <m:rPr/>
              <w:rPr>
                <w:rFonts w:ascii="Cambria Math" w:hAnsi="Cambria Math"/>
              </w:rPr>
              <m:t>1+x</m:t>
            </m:r>
          </m:e>
        </m:d>
        <m:r>
          <m:rPr/>
          <w:rPr>
            <w:rFonts w:ascii="Cambria Math" w:hAnsi="Cambria Math"/>
          </w:rPr>
          <m:t>∼x</m:t>
        </m:r>
      </m:oMath>
      <w:r>
        <w:t>，</w:t>
      </w: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1+βx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α</m:t>
            </m:r>
          </m:sup>
        </m:sSup>
        <m:r>
          <m:rPr/>
          <w:rPr>
            <w:rFonts w:ascii="Cambria Math" w:hAnsi="Cambria Math"/>
          </w:rPr>
          <m:t>−1∼αβx</m:t>
        </m:r>
      </m:oMath>
      <w:r>
        <w:t>，</w:t>
      </w:r>
      <m:oMath>
        <m:r>
          <m:rPr/>
          <w:rPr>
            <w:rFonts w:ascii="Cambria Math" w:hAnsi="Cambria Math"/>
          </w:rPr>
          <m:t>arcsinx∼x</m:t>
        </m:r>
      </m:oMath>
      <w:r>
        <w:t>，</w:t>
      </w:r>
    </w:p>
    <w:p>
      <w:pPr>
        <w:pStyle w:val="4"/>
      </w:pPr>
      <m:oMath>
        <m:r>
          <m:rPr/>
          <w:rPr>
            <w:rFonts w:ascii="Cambria Math" w:hAnsi="Cambria Math"/>
          </w:rPr>
          <m:t>arctanx∼x</m:t>
        </m:r>
      </m:oMath>
      <w:r>
        <w:t>，</w:t>
      </w:r>
      <m:oMath>
        <m:sSup>
          <m:sSupPr/>
          <m:e>
            <m:r>
              <m:rPr/>
              <w:rPr>
                <w:rFonts w:ascii="Cambria Math" w:hAnsi="Cambria Math"/>
              </w:rPr>
              <m:t>e</m:t>
            </m:r>
          </m:e>
          <m:sup>
            <m:r>
              <m:rPr/>
              <w:rPr>
                <w:rFonts w:ascii="Cambria Math" w:hAnsi="Cambria Math"/>
              </w:rPr>
              <m:t>x</m:t>
            </m:r>
          </m:sup>
        </m:sSup>
        <m:r>
          <m:rPr/>
          <w:rPr>
            <w:rFonts w:ascii="Cambria Math" w:hAnsi="Cambria Math"/>
          </w:rPr>
          <m:t>−1∼x</m:t>
        </m:r>
      </m:oMath>
      <w:r>
        <w:t>，</w:t>
      </w:r>
      <m:oMath>
        <m:r>
          <m:rPr/>
          <w:rPr>
            <w:rFonts w:ascii="Cambria Math" w:hAnsi="Cambria Math"/>
          </w:rPr>
          <m:t>1−cosx∼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2</m:t>
            </m:r>
          </m:den>
        </m:f>
        <m:sSup>
          <m:sSupPr/>
          <m:e>
            <m:r>
              <m:rPr/>
              <w:rPr>
                <w:rFonts w:ascii="Cambria Math" w:hAnsi="Cambria Math"/>
              </w:rPr>
              <m:t>x</m:t>
            </m:r>
          </m:e>
          <m:sup>
            <m:r>
              <m:rPr/>
              <w:rPr>
                <w:rFonts w:ascii="Cambria Math" w:hAnsi="Cambria Math"/>
              </w:rPr>
              <m:t>2</m:t>
            </m:r>
          </m:sup>
        </m:sSup>
      </m:oMath>
      <w:r>
        <w:t>，</w:t>
      </w:r>
    </w:p>
    <w:p>
      <w:pPr>
        <w:pStyle w:val="4"/>
      </w:pPr>
      <m:oMath>
        <m:rad>
          <m:radPr/>
          <m:deg>
            <m:r>
              <m:rPr/>
              <w:rPr>
                <w:rFonts w:ascii="Cambria Math" w:hAnsi="Cambria Math"/>
              </w:rPr>
              <m:t>n</m:t>
            </m:r>
          </m:deg>
          <m:e>
            <m:r>
              <m:rPr/>
              <w:rPr>
                <w:rFonts w:ascii="Cambria Math" w:hAnsi="Cambria Math"/>
              </w:rPr>
              <m:t>1+x</m:t>
            </m:r>
          </m:e>
        </m:rad>
        <m:r>
          <m:rPr/>
          <w:rPr>
            <w:rFonts w:ascii="Cambria Math" w:hAnsi="Cambria Math"/>
          </w:rPr>
          <m:t>∼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n</m:t>
            </m:r>
          </m:den>
        </m:f>
        <m:r>
          <m:rPr/>
          <w:rPr>
            <w:rFonts w:ascii="Cambria Math" w:hAnsi="Cambria Math"/>
          </w:rPr>
          <m:t>x</m:t>
        </m:r>
      </m:oMath>
      <w:r>
        <w:t>，</w:t>
      </w:r>
      <m:oMath>
        <m:r>
          <m:rPr/>
          <w:rPr>
            <w:rFonts w:ascii="Cambria Math" w:hAnsi="Cambria Math"/>
          </w:rPr>
          <m:t>log∼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lna</m:t>
            </m:r>
          </m:den>
        </m:f>
        <m:r>
          <m:rPr/>
          <w:rPr>
            <w:rFonts w:ascii="Cambria Math" w:hAnsi="Cambria Math"/>
          </w:rPr>
          <m:t>x</m:t>
        </m:r>
        <m:d>
          <m:dPr/>
          <m:e>
            <m:r>
              <m:rPr/>
              <w:rPr>
                <w:rFonts w:ascii="Cambria Math" w:hAnsi="Cambria Math"/>
              </w:rPr>
              <m:t>a&gt;0,a≠1</m:t>
            </m:r>
          </m:e>
        </m:d>
      </m:oMath>
      <w:r>
        <w:t>.</w:t>
      </w:r>
    </w:p>
    <w:p>
      <w:pPr>
        <w:pStyle w:val="4"/>
      </w:pPr>
    </w:p>
    <w:p>
      <w:pPr>
        <w:pStyle w:val="4"/>
        <w:rPr>
          <w:color w:val="C9211E"/>
        </w:rPr>
      </w:pPr>
      <w:r>
        <w:rPr>
          <w:color w:val="C9211E"/>
        </w:rPr>
        <w:t>注意：等价无穷小只对乘和除有效。</w:t>
      </w:r>
    </w:p>
    <w:p>
      <w:pPr>
        <w:pStyle w:val="4"/>
        <w:rPr>
          <w:color w:val="C9211E"/>
        </w:rPr>
      </w:pPr>
    </w:p>
    <w:p>
      <w:pPr>
        <w:pStyle w:val="4"/>
        <w:rPr>
          <w:color w:val="000000"/>
        </w:rPr>
      </w:pPr>
      <w:r>
        <w:rPr>
          <w:color w:val="000000"/>
        </w:rPr>
        <w:t>2、重要极限</w:t>
      </w:r>
    </w:p>
    <w:p>
      <w:pPr>
        <w:rPr>
          <w:color w:val="000000"/>
        </w:rPr>
      </w:pPr>
      <m:oMath>
        <m:func>
          <m:funcPr/>
          <m:fName>
            <m:limLow>
              <m:limLowPr/>
              <m:e>
                <m:r>
                  <m:rPr/>
                  <w:rPr>
                    <w:rFonts w:ascii="Cambria Math" w:hAnsi="Cambria Math"/>
                  </w:rPr>
                  <m:t>lim</m:t>
                </m:r>
              </m:e>
              <m:lim>
                <m:r>
                  <m:rPr/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/>
              <m:num>
                <m:r>
                  <m:rPr/>
                  <w:rPr>
                    <w:rFonts w:ascii="Cambria Math" w:hAnsi="Cambria Math"/>
                  </w:rPr>
                  <m:t>sinx</m:t>
                </m:r>
              </m:num>
              <m:den>
                <m:r>
                  <m:rPr/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/>
          <w:rPr>
            <w:rFonts w:ascii="Cambria Math" w:hAnsi="Cambria Math"/>
          </w:rPr>
          <m:t>=1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</w:p>
    <w:p>
      <w:pPr>
        <w:rPr>
          <w:color w:val="000000"/>
        </w:rPr>
      </w:pPr>
      <m:oMath>
        <m:func>
          <m:funcPr/>
          <m:fName>
            <m:limLow>
              <m:limLowPr/>
              <m:e>
                <m:r>
                  <m:rPr/>
                  <w:rPr>
                    <w:rFonts w:ascii="Cambria Math" w:hAnsi="Cambria Math"/>
                  </w:rPr>
                  <m:t>lim</m:t>
                </m:r>
              </m:e>
              <m:lim>
                <m:r>
                  <m:rPr/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/>
              <m:e>
                <m:d>
                  <m:dPr/>
                  <m:e>
                    <m:r>
                      <m:rPr/>
                      <w:rPr>
                        <w:rFonts w:ascii="Cambria Math" w:hAnsi="Cambria Math"/>
                      </w:rPr>
                      <m:t>1+</m:t>
                    </m:r>
                    <m:f>
                      <m:fPr/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m:rPr/>
          <w:rPr>
            <w:rFonts w:ascii="Cambria Math" w:hAnsi="Cambria Math"/>
          </w:rPr>
          <m:t>=e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func>
          <m:funcPr/>
          <m:fName>
            <m:limLow>
              <m:limLowPr/>
              <m:e>
                <m:r>
                  <m:rPr/>
                  <w:rPr>
                    <w:rFonts w:ascii="Cambria Math" w:hAnsi="Cambria Math"/>
                  </w:rPr>
                  <m:t>lim</m:t>
                </m:r>
              </m:e>
              <m:lim>
                <m:r>
                  <m:rPr/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/>
              <m:e>
                <m:d>
                  <m:dPr/>
                  <m:e>
                    <m:r>
                      <m:rPr/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f>
                  <m:fPr/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  <m:r>
          <m:rPr/>
          <w:rPr>
            <w:rFonts w:ascii="Cambria Math" w:hAnsi="Cambria Math"/>
          </w:rPr>
          <m:t>=e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</w:p>
    <w:p>
      <w:pPr>
        <w:rPr>
          <w:color w:val="000000"/>
        </w:rPr>
      </w:pPr>
      <m:oMath>
        <m:func>
          <m:funcPr/>
          <m:fName>
            <m:limLow>
              <m:limLowPr/>
              <m:e>
                <m:r>
                  <m:rPr/>
                  <w:rPr>
                    <w:rFonts w:ascii="Cambria Math" w:hAnsi="Cambria Math"/>
                  </w:rPr>
                  <m:t>lim</m:t>
                </m:r>
              </m:e>
              <m:lim>
                <m:r>
                  <m:rPr/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/>
              <m:num>
                <m:r>
                  <m:rPr/>
                  <w:rPr>
                    <w:rFonts w:ascii="Cambria Math" w:hAnsi="Cambria Math"/>
                  </w:rPr>
                  <m:t>ln</m:t>
                </m:r>
                <m:d>
                  <m:dPr/>
                  <m:e>
                    <m:r>
                      <m:rPr/>
                      <w:rPr>
                        <w:rFonts w:ascii="Cambria Math" w:hAnsi="Cambria Math"/>
                      </w:rPr>
                      <m:t>1+x</m:t>
                    </m:r>
                  </m:e>
                </m:d>
              </m:num>
              <m:den>
                <m:r>
                  <m:rPr/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/>
          <w:rPr>
            <w:rFonts w:ascii="Cambria Math" w:hAnsi="Cambria Math"/>
          </w:rPr>
          <m:t>=1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。</w:t>
      </w:r>
    </w:p>
    <w:p>
      <w:pPr>
        <w:rPr>
          <w:rFonts w:ascii="思源黑体 CN" w:hAnsi="思源黑体 CN"/>
          <w:b w:val="0"/>
          <w:i w:val="0"/>
          <w:sz w:val="21"/>
        </w:rPr>
      </w:pPr>
    </w:p>
    <w:p>
      <w:pPr>
        <w:rPr>
          <w:rFonts w:ascii="思源黑体 CN" w:hAnsi="思源黑体 CN"/>
          <w:b w:val="0"/>
          <w:i w:val="0"/>
          <w:sz w:val="21"/>
        </w:rPr>
      </w:pPr>
    </w:p>
    <w:p>
      <w:pPr>
        <w:rPr>
          <w:color w:val="000000"/>
        </w:rPr>
      </w:pPr>
      <w:r>
        <w:rPr>
          <w:rFonts w:ascii="思源黑体 CN" w:hAnsi="思源黑体 CN"/>
          <w:b w:val="0"/>
          <w:i w:val="0"/>
          <w:color w:val="000000"/>
          <w:sz w:val="21"/>
        </w:rPr>
        <w:t>3、导数表</w:t>
      </w:r>
    </w:p>
    <w:p>
      <w:pPr>
        <w:rPr>
          <w:color w:val="000000"/>
        </w:rPr>
      </w:pP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=0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sinx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=cosx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cosx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=−sinx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</w:p>
    <w:p>
      <w:pPr>
        <w:rPr>
          <w:color w:val="000000"/>
        </w:rPr>
      </w:pP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tanx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sSup>
              <m:sSupPr/>
              <m:e>
                <m:d>
                  <m:dPr/>
                  <m:e>
                    <m:r>
                      <m:rPr/>
                      <w:rPr>
                        <w:rFonts w:ascii="Cambria Math" w:hAnsi="Cambria Math"/>
                      </w:rPr>
                      <m:t>cosx</m:t>
                    </m:r>
                  </m:e>
                </m:d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cotx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sSup>
          <m:sSupPr/>
          <m:e>
            <m:d>
              <m:dPr/>
              <m:e>
                <m:f>
                  <m:fPr/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tanx</m:t>
                    </m:r>
                  </m:den>
                </m:f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=−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sSup>
              <m:sSupPr/>
              <m:e>
                <m:d>
                  <m:dPr/>
                  <m:e>
                    <m:r>
                      <m:rPr/>
                      <w:rPr>
                        <w:rFonts w:ascii="Cambria Math" w:hAnsi="Cambria Math"/>
                      </w:rPr>
                      <m:t>sinx</m:t>
                    </m:r>
                  </m:e>
                </m:d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</w:p>
    <w:p>
      <w:pPr>
        <w:rPr>
          <w:rFonts w:ascii="思源黑体 CN" w:hAnsi="思源黑体 CN"/>
          <w:b w:val="0"/>
          <w:i w:val="0"/>
          <w:sz w:val="21"/>
        </w:rPr>
      </w:pPr>
    </w:p>
    <w:p>
      <w:pPr>
        <w:rPr>
          <w:color w:val="000000"/>
        </w:rPr>
      </w:pP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lnx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x</m:t>
            </m:r>
          </m:den>
        </m:f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log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xlna</m:t>
            </m:r>
          </m:den>
        </m:f>
        <m:d>
          <m:dPr/>
          <m:e>
            <m:r>
              <m:rPr/>
              <w:rPr>
                <w:rFonts w:ascii="Cambria Math" w:hAnsi="Cambria Math"/>
              </w:rPr>
              <m:t>a&gt;0,a≠1</m:t>
            </m:r>
          </m:e>
        </m:d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</w:p>
    <w:p>
      <w:pPr>
        <w:rPr>
          <w:color w:val="000000"/>
        </w:rPr>
      </w:pPr>
      <m:oMath>
        <m:sSup>
          <m:sSupPr/>
          <m:e>
            <m:d>
              <m:dPr/>
              <m:e>
                <m:sSup>
                  <m:sSupPr/>
                  <m:e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sSup>
          <m:sSupPr/>
          <m:e>
            <m:r>
              <m:rPr/>
              <w:rPr>
                <w:rFonts w:ascii="Cambria Math" w:hAnsi="Cambria Math"/>
              </w:rPr>
              <m:t>e</m:t>
            </m:r>
          </m:e>
          <m:sup>
            <m:r>
              <m:rPr/>
              <w:rPr>
                <w:rFonts w:ascii="Cambria Math" w:hAnsi="Cambria Math"/>
              </w:rPr>
              <m:t>x</m:t>
            </m:r>
          </m:sup>
        </m:sSup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sSup>
          <m:sSupPr/>
          <m:e>
            <m:d>
              <m:dPr/>
              <m:e>
                <m:sSup>
                  <m:sSupPr/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sSup>
          <m:sSupPr/>
          <m:e>
            <m:r>
              <m:rPr/>
              <w:rPr>
                <w:rFonts w:ascii="Cambria Math" w:hAnsi="Cambria Math"/>
              </w:rPr>
              <m:t>a</m:t>
            </m:r>
          </m:e>
          <m:sup>
            <m:r>
              <m:rPr/>
              <w:rPr>
                <w:rFonts w:ascii="Cambria Math" w:hAnsi="Cambria Math"/>
              </w:rPr>
              <m:t>x</m:t>
            </m:r>
          </m:sup>
        </m:sSup>
        <m:r>
          <m:rPr/>
          <w:rPr>
            <w:rFonts w:ascii="Cambria Math" w:hAnsi="Cambria Math"/>
          </w:rPr>
          <m:t>lna</m:t>
        </m:r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</w:p>
    <w:p>
      <w:pPr>
        <w:rPr>
          <w:color w:val="000000"/>
        </w:rPr>
      </w:pP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arcsinx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</m:radPr>
              <m:deg/>
              <m:e>
                <m:d>
                  <m:dPr/>
                  <m:e>
                    <m:r>
                      <m:rPr/>
                      <w:rPr>
                        <w:rFonts w:ascii="Cambria Math" w:hAnsi="Cambria Math"/>
                      </w:rPr>
                      <m:t>1−</m:t>
                    </m:r>
                    <m:sSup>
                      <m:sSupPr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arccosx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=−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</m:radPr>
              <m:deg/>
              <m:e>
                <m:d>
                  <m:dPr/>
                  <m:e>
                    <m:r>
                      <m:rPr/>
                      <w:rPr>
                        <w:rFonts w:ascii="Cambria Math" w:hAnsi="Cambria Math"/>
                      </w:rPr>
                      <m:t>1−</m:t>
                    </m:r>
                    <m:sSup>
                      <m:sSupPr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</w:p>
    <w:p>
      <w:pPr>
        <w:rPr>
          <w:color w:val="000000"/>
        </w:rPr>
      </w:pP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arccotx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=−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1+</m:t>
            </m:r>
            <m:sSup>
              <m:sSupPr/>
              <m:e>
                <m:r>
                  <m:rPr/>
                  <w:rPr>
                    <w:rFonts w:ascii="Cambria Math" w:hAnsi="Cambria Math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思源黑体 CN" w:hAnsi="思源黑体 CN"/>
          <w:b w:val="0"/>
          <w:i w:val="0"/>
          <w:color w:val="000000"/>
          <w:sz w:val="21"/>
        </w:rPr>
        <w:t>，</w:t>
      </w:r>
      <m:oMath>
        <m:sSup>
          <m:sSupPr/>
          <m:e>
            <m:d>
              <m:dPr/>
              <m:e>
                <m:r>
                  <m:rPr/>
                  <w:rPr>
                    <w:rFonts w:ascii="Cambria Math" w:hAnsi="Cambria Math"/>
                  </w:rPr>
                  <m:t>arctanx</m:t>
                </m:r>
              </m:e>
            </m:d>
          </m:e>
          <m:sup>
            <m:r>
              <m:rPr/>
              <w:rPr>
                <w:rFonts w:ascii="Cambria Math" w:hAnsi="Cambria Math"/>
              </w:rPr>
              <m:t>'</m:t>
            </m:r>
          </m:sup>
        </m:sSup>
        <m:r>
          <m:rPr/>
          <w:rPr>
            <w:rFonts w:ascii="Cambria Math" w:hAnsi="Cambria Math"/>
          </w:rPr>
          <m:t>=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1+</m:t>
            </m:r>
            <m:sSup>
              <m:sSupPr/>
              <m:e>
                <m:r>
                  <m:rPr/>
                  <w:rPr>
                    <w:rFonts w:ascii="Cambria Math" w:hAnsi="Cambria Math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思源黑体 CN" w:hAnsi="思源黑体 CN"/>
          <w:b w:val="0"/>
          <w:i w:val="0"/>
          <w:color w:val="000000"/>
          <w:sz w:val="21"/>
        </w:rPr>
        <w:t>。</w:t>
      </w:r>
    </w:p>
    <w:p>
      <w:pPr>
        <w:rPr>
          <w:rFonts w:ascii="思源黑体 CN" w:hAnsi="思源黑体 CN"/>
          <w:b w:val="0"/>
          <w:i w:val="0"/>
          <w:sz w:val="21"/>
        </w:rPr>
      </w:pPr>
    </w:p>
    <w:p>
      <w:pPr>
        <w:rPr>
          <w:rFonts w:ascii="思源黑体 CN" w:hAnsi="思源黑体 CN"/>
          <w:b w:val="0"/>
          <w:i w:val="0"/>
          <w:sz w:val="21"/>
        </w:rPr>
      </w:pPr>
    </w:p>
    <w:p>
      <w:pPr>
        <w:rPr>
          <w:color w:val="000000"/>
        </w:rPr>
      </w:pPr>
      <w:r>
        <w:rPr>
          <w:rFonts w:ascii="思源黑体 CN" w:hAnsi="思源黑体 CN"/>
          <w:b w:val="0"/>
          <w:i w:val="0"/>
          <w:color w:val="000000"/>
          <w:sz w:val="21"/>
        </w:rPr>
        <w:t>注意：</w:t>
      </w:r>
      <m:oMath>
        <m:r>
          <m:rPr/>
          <w:rPr>
            <w:rFonts w:ascii="Cambria Math" w:hAnsi="Cambria Math"/>
          </w:rPr>
          <m:t>secx=</m:t>
        </m:r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cosx</m:t>
            </m:r>
          </m:den>
        </m:f>
      </m:oMath>
    </w:p>
    <w:p>
      <w:pPr>
        <w:rPr>
          <w:rFonts w:ascii="思源黑体 CN" w:hAnsi="思源黑体 CN"/>
          <w:b w:val="0"/>
          <w:i w:val="0"/>
          <w:sz w:val="21"/>
        </w:rPr>
      </w:pPr>
      <w:bookmarkStart w:id="0" w:name="_GoBack"/>
      <w:bookmarkEnd w:id="0"/>
    </w:p>
    <w:p>
      <w:pPr>
        <w:rPr>
          <w:color w:val="000000"/>
        </w:rPr>
      </w:pPr>
      <w:r>
        <w:rPr>
          <w:rFonts w:ascii="思源黑体 CN" w:hAnsi="思源黑体 CN"/>
          <w:b w:val="0"/>
          <w:i w:val="0"/>
          <w:color w:val="000000"/>
          <w:sz w:val="21"/>
        </w:rPr>
        <w:t>4、无穷小比较</w:t>
      </w:r>
    </w:p>
    <w:p>
      <w:pPr>
        <w:rPr>
          <w:rFonts w:ascii="思源黑体 CN" w:hAnsi="思源黑体 CN"/>
          <w:b w:val="0"/>
          <w:i w:val="0"/>
          <w:sz w:val="21"/>
        </w:rPr>
      </w:pPr>
    </w:p>
    <w:p>
      <w:pPr>
        <w:rPr>
          <w:color w:val="000000"/>
        </w:rPr>
      </w:pPr>
      <m:oMathPara>
        <m:oMath>
          <m:func>
            <m:funcPr/>
            <m:fName>
              <m:limLow>
                <m:limLowPr/>
                <m:e>
                  <m:r>
                    <m:rPr/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/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/>
                <m:num>
                  <m:r>
                    <m:rPr/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/>
                    <w:rPr>
                      <w:rFonts w:ascii="Cambria Math" w:hAnsi="Cambria Math"/>
                    </w:rPr>
                    <m:t>β</m:t>
                  </m:r>
                </m:den>
              </m:f>
            </m:e>
          </m:func>
          <m:r>
            <m:rPr/>
            <w:rPr>
              <w:rFonts w:ascii="Cambria Math" w:hAnsi="Cambria Math"/>
            </w:rPr>
            <m:t>=0</m:t>
          </m:r>
        </m:oMath>
      </m:oMathPara>
    </w:p>
    <w:sectPr>
      <w:pgSz w:w="11850" w:h="16783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erif CJK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思源宋体 C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;Arial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;永中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永中宋体">
    <w:altName w:val="思源黑体 C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;Arial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roman"/>
    <w:pitch w:val="default"/>
    <w:sig w:usb0="20000083" w:usb1="2ADF3C10" w:usb2="00000016" w:usb3="00000000" w:csb0="6006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Noto Sans Mongolian">
    <w:panose1 w:val="020B0502040504020204"/>
    <w:charset w:val="00"/>
    <w:family w:val="auto"/>
    <w:pitch w:val="default"/>
    <w:sig w:usb0="80000003" w:usb1="02012400" w:usb2="00020002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11DDC"/>
    <w:multiLevelType w:val="multilevel"/>
    <w:tmpl w:val="2FF11DDC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32"/>
  <w:compat>
    <w:doNotExpandShiftReturn/>
    <w:compatSetting w:name="compatibilityMode" w:uri="http://schemas.microsoft.com/office/word" w:val="12"/>
  </w:compat>
  <w:rsids>
    <w:rsidRoot w:val="00000000"/>
    <w:rsid w:val="DB7E07C4"/>
    <w:rsid w:val="EFFDA1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思源宋体 CN" w:cs="Noto Serif CJK SC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;Arial" w:hAnsi="Calibri;Arial" w:eastAsia="宋体;永中宋体" w:cs="Times New Roman"/>
      <w:color w:val="000000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widowControl w:val="0"/>
      <w:suppressAutoHyphens/>
      <w:spacing w:before="240" w:after="120"/>
    </w:pPr>
    <w:rPr>
      <w:rFonts w:ascii="Liberation Sans;Arial" w:hAnsi="Liberation Sans;Arial" w:eastAsia="Noto Sans CJK SC Regular" w:cs="Noto Sans CJK SC Regular"/>
      <w:sz w:val="28"/>
      <w:szCs w:val="28"/>
      <w:lang w:bidi="ar-SA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widowControl w:val="0"/>
      <w:suppressLineNumbers/>
      <w:suppressAutoHyphen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qFormat/>
    <w:uiPriority w:val="0"/>
  </w:style>
  <w:style w:type="paragraph" w:styleId="7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0">
    <w:name w:val="WW8Num1z0"/>
    <w:qFormat/>
    <w:uiPriority w:val="0"/>
  </w:style>
  <w:style w:type="character" w:customStyle="1" w:styleId="11">
    <w:name w:val="WW8Num2z0"/>
    <w:qFormat/>
    <w:uiPriority w:val="0"/>
  </w:style>
  <w:style w:type="character" w:customStyle="1" w:styleId="12">
    <w:name w:val="WW8Num3z0"/>
    <w:qFormat/>
    <w:uiPriority w:val="0"/>
  </w:style>
  <w:style w:type="character" w:customStyle="1" w:styleId="13">
    <w:name w:val="WW8Num4z0"/>
    <w:qFormat/>
    <w:uiPriority w:val="0"/>
  </w:style>
  <w:style w:type="character" w:customStyle="1" w:styleId="14">
    <w:name w:val="WW8Num5z0"/>
    <w:qFormat/>
    <w:uiPriority w:val="0"/>
    <w:rPr>
      <w:rFonts w:ascii="永中宋体" w:hAnsi="永中宋体" w:cs="永中宋体"/>
    </w:rPr>
  </w:style>
  <w:style w:type="character" w:customStyle="1" w:styleId="15">
    <w:name w:val="WW8Num6z0"/>
    <w:qFormat/>
    <w:uiPriority w:val="0"/>
    <w:rPr>
      <w:rFonts w:ascii="永中宋体" w:hAnsi="永中宋体" w:cs="永中宋体"/>
    </w:rPr>
  </w:style>
  <w:style w:type="character" w:customStyle="1" w:styleId="16">
    <w:name w:val="WW8Num7z0"/>
    <w:qFormat/>
    <w:uiPriority w:val="0"/>
    <w:rPr>
      <w:rFonts w:ascii="永中宋体" w:hAnsi="永中宋体" w:cs="永中宋体"/>
    </w:rPr>
  </w:style>
  <w:style w:type="character" w:customStyle="1" w:styleId="17">
    <w:name w:val="WW8Num8z0"/>
    <w:qFormat/>
    <w:uiPriority w:val="0"/>
    <w:rPr>
      <w:rFonts w:ascii="永中宋体" w:hAnsi="永中宋体" w:cs="永中宋体"/>
    </w:rPr>
  </w:style>
  <w:style w:type="character" w:customStyle="1" w:styleId="18">
    <w:name w:val="WW8Num9z0"/>
    <w:qFormat/>
    <w:uiPriority w:val="0"/>
  </w:style>
  <w:style w:type="character" w:customStyle="1" w:styleId="19">
    <w:name w:val="WW8Num10z0"/>
    <w:qFormat/>
    <w:uiPriority w:val="0"/>
    <w:rPr>
      <w:rFonts w:ascii="永中宋体" w:hAnsi="永中宋体" w:cs="永中宋体"/>
    </w:rPr>
  </w:style>
  <w:style w:type="character" w:customStyle="1" w:styleId="20">
    <w:name w:val="默认段落字体"/>
    <w:qFormat/>
    <w:uiPriority w:val="0"/>
  </w:style>
  <w:style w:type="character" w:customStyle="1" w:styleId="21">
    <w:name w:val="WW-默认段落字体"/>
    <w:qFormat/>
    <w:uiPriority w:val="0"/>
  </w:style>
  <w:style w:type="character" w:customStyle="1" w:styleId="22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23">
    <w:name w:val="索引"/>
    <w:basedOn w:val="1"/>
    <w:qFormat/>
    <w:uiPriority w:val="0"/>
    <w:pPr>
      <w:widowControl w:val="0"/>
      <w:suppressLineNumbers/>
      <w:suppressAutoHyphen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241</Words>
  <Characters>371</Characters>
  <Paragraphs>39</Paragraphs>
  <TotalTime>1978</TotalTime>
  <ScaleCrop>false</ScaleCrop>
  <LinksUpToDate>false</LinksUpToDate>
  <CharactersWithSpaces>371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2018-11-27T09:47:00Z</dcterms:created>
  <dc:creator>往事深处的少年</dc:creator>
  <cp:lastModifiedBy>往事深处的少年</cp:lastModifiedBy>
  <dcterms:modified xsi:type="dcterms:W3CDTF">2019-10-25T22:08:15Z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