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D1ED5" w14:textId="77777777" w:rsidR="006A1BDE" w:rsidRPr="006A1BDE" w:rsidRDefault="006A1BDE" w:rsidP="006A1BD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A1BDE">
        <w:rPr>
          <w:rFonts w:ascii="Times New Roman" w:eastAsia="Times New Roman" w:hAnsi="Times New Roman" w:cs="Times New Roman"/>
          <w:b/>
          <w:bCs/>
          <w:kern w:val="36"/>
          <w:sz w:val="48"/>
          <w:szCs w:val="48"/>
          <w:lang w:eastAsia="en-IN"/>
        </w:rPr>
        <w:t>Intro</w:t>
      </w:r>
    </w:p>
    <w:p w14:paraId="71E4ADB0" w14:textId="32E67C8A"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We</w:t>
      </w:r>
      <w:r w:rsidRPr="006A1BDE">
        <w:rPr>
          <w:rFonts w:ascii="Times New Roman" w:eastAsia="Times New Roman" w:hAnsi="Times New Roman" w:cs="Times New Roman"/>
          <w:sz w:val="20"/>
          <w:szCs w:val="20"/>
          <w:lang w:eastAsia="en-IN"/>
        </w:rPr>
        <w:t>’ve discussed on several blog posts how Causal Inference involves making inference about unobserved quantities and distributions (e.g. we never observe \(Y|do(x)\)). That means we can’t benchmark different algorithms on Causal Inference tasks (e.g \(ATE/CATE\) estimation) the same way we do in ML because we don’t have any ground truth to benchmark against.</w:t>
      </w:r>
    </w:p>
    <w:p w14:paraId="6CE830BF"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 xml:space="preserve">In the absence of ground truth, one of the main tools left for model comparison and performance bench-marking is simulation studies. On a </w:t>
      </w:r>
      <w:hyperlink r:id="rId5" w:tgtFrame="_blank" w:history="1">
        <w:r w:rsidRPr="006A1BDE">
          <w:rPr>
            <w:rFonts w:ascii="Times New Roman" w:eastAsia="Times New Roman" w:hAnsi="Times New Roman" w:cs="Times New Roman"/>
            <w:color w:val="0000FF"/>
            <w:sz w:val="20"/>
            <w:szCs w:val="20"/>
            <w:u w:val="single"/>
            <w:lang w:eastAsia="en-IN"/>
          </w:rPr>
          <w:t>recent post</w:t>
        </w:r>
      </w:hyperlink>
      <w:r w:rsidRPr="006A1BDE">
        <w:rPr>
          <w:rFonts w:ascii="Times New Roman" w:eastAsia="Times New Roman" w:hAnsi="Times New Roman" w:cs="Times New Roman"/>
          <w:sz w:val="20"/>
          <w:szCs w:val="20"/>
          <w:lang w:eastAsia="en-IN"/>
        </w:rPr>
        <w:t xml:space="preserve"> I used a </w:t>
      </w:r>
      <w:hyperlink r:id="rId6" w:tgtFrame="_blank" w:history="1">
        <w:r w:rsidRPr="006A1BDE">
          <w:rPr>
            <w:rFonts w:ascii="Times New Roman" w:eastAsia="Times New Roman" w:hAnsi="Times New Roman" w:cs="Times New Roman"/>
            <w:color w:val="0000FF"/>
            <w:sz w:val="20"/>
            <w:szCs w:val="20"/>
            <w:u w:val="single"/>
            <w:lang w:eastAsia="en-IN"/>
          </w:rPr>
          <w:t>semi synthetic dataset</w:t>
        </w:r>
      </w:hyperlink>
      <w:r w:rsidRPr="006A1BDE">
        <w:rPr>
          <w:rFonts w:ascii="Times New Roman" w:eastAsia="Times New Roman" w:hAnsi="Times New Roman" w:cs="Times New Roman"/>
          <w:sz w:val="20"/>
          <w:szCs w:val="20"/>
          <w:lang w:eastAsia="en-IN"/>
        </w:rPr>
        <w:t xml:space="preserve"> to benchmark different algorithms on the task of \(ATE/CATE\) estimation.</w:t>
      </w:r>
    </w:p>
    <w:p w14:paraId="22A2FA50"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DAG estimation is another important task in Causal Inference on which I intend to write in a future post. The ground truth lacking in this case is the true DAG underlying a dataset. We thus need a way to simulate “realistic” datasets from known DAGs and compare how well different algorithms do at retrieving them.</w:t>
      </w:r>
    </w:p>
    <w:p w14:paraId="61698A54"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When it comes to simulating data from DAGs there’s a slew of existing solutions in R. To name just a few:</w:t>
      </w:r>
    </w:p>
    <w:p w14:paraId="28ECAC5B" w14:textId="77777777" w:rsidR="006A1BDE" w:rsidRPr="006A1BDE" w:rsidRDefault="006A1BDE" w:rsidP="006A1BD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 xml:space="preserve">The </w:t>
      </w:r>
      <w:r w:rsidRPr="006A1BDE">
        <w:rPr>
          <w:rFonts w:ascii="Courier New" w:eastAsia="Times New Roman" w:hAnsi="Courier New" w:cs="Courier New"/>
          <w:sz w:val="20"/>
          <w:szCs w:val="20"/>
          <w:lang w:eastAsia="en-IN"/>
        </w:rPr>
        <w:t>simulateSEM</w:t>
      </w:r>
      <w:r w:rsidRPr="006A1BDE">
        <w:rPr>
          <w:rFonts w:ascii="Times New Roman" w:eastAsia="Times New Roman" w:hAnsi="Times New Roman" w:cs="Times New Roman"/>
          <w:sz w:val="20"/>
          <w:szCs w:val="20"/>
          <w:lang w:eastAsia="en-IN"/>
        </w:rPr>
        <w:t xml:space="preserve"> function from the “dagitty” package simulates continuous Gaussian variables only. </w:t>
      </w:r>
    </w:p>
    <w:p w14:paraId="1A9CF1DB" w14:textId="77777777" w:rsidR="006A1BDE" w:rsidRPr="006A1BDE" w:rsidRDefault="006A1BDE" w:rsidP="006A1BD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 xml:space="preserve">The </w:t>
      </w:r>
      <w:r w:rsidRPr="006A1BDE">
        <w:rPr>
          <w:rFonts w:ascii="Courier New" w:eastAsia="Times New Roman" w:hAnsi="Courier New" w:cs="Courier New"/>
          <w:sz w:val="20"/>
          <w:szCs w:val="20"/>
          <w:lang w:eastAsia="en-IN"/>
        </w:rPr>
        <w:t>dag.sim</w:t>
      </w:r>
      <w:r w:rsidRPr="006A1BDE">
        <w:rPr>
          <w:rFonts w:ascii="Times New Roman" w:eastAsia="Times New Roman" w:hAnsi="Times New Roman" w:cs="Times New Roman"/>
          <w:sz w:val="20"/>
          <w:szCs w:val="20"/>
          <w:lang w:eastAsia="en-IN"/>
        </w:rPr>
        <w:t xml:space="preserve"> function from the “dagR” package simulates continuous Gaussian and logit binary nodes (no multi level categorical).</w:t>
      </w:r>
    </w:p>
    <w:p w14:paraId="11F72D63" w14:textId="77777777" w:rsidR="006A1BDE" w:rsidRPr="006A1BDE" w:rsidRDefault="006A1BDE" w:rsidP="006A1BD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 xml:space="preserve">The </w:t>
      </w:r>
      <w:r w:rsidRPr="006A1BDE">
        <w:rPr>
          <w:rFonts w:ascii="Courier New" w:eastAsia="Times New Roman" w:hAnsi="Courier New" w:cs="Courier New"/>
          <w:sz w:val="20"/>
          <w:szCs w:val="20"/>
          <w:lang w:eastAsia="en-IN"/>
        </w:rPr>
        <w:t>rbn</w:t>
      </w:r>
      <w:r w:rsidRPr="006A1BDE">
        <w:rPr>
          <w:rFonts w:ascii="Times New Roman" w:eastAsia="Times New Roman" w:hAnsi="Times New Roman" w:cs="Times New Roman"/>
          <w:sz w:val="20"/>
          <w:szCs w:val="20"/>
          <w:lang w:eastAsia="en-IN"/>
        </w:rPr>
        <w:t xml:space="preserve"> function from the “bnlearn” package can simulate mixed data type datasets (both Gaussian continuous and categorical) but categorical nodes can only have categorical parents.</w:t>
      </w:r>
    </w:p>
    <w:p w14:paraId="5294E5BD"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All functions above generate datasets from parametric distributions, thus limiting how representative of “real” datasets the resulting simulations might be.</w:t>
      </w:r>
    </w:p>
    <w:p w14:paraId="353E5509"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 xml:space="preserve">In an effort to enable better Causal Inference tasks bench-marking using “real life” datasets simulation I’ve written a small package: </w:t>
      </w:r>
      <w:hyperlink r:id="rId7" w:tgtFrame="_blank" w:history="1">
        <w:r w:rsidRPr="006A1BDE">
          <w:rPr>
            <w:rFonts w:ascii="Times New Roman" w:eastAsia="Times New Roman" w:hAnsi="Times New Roman" w:cs="Times New Roman"/>
            <w:color w:val="0000FF"/>
            <w:sz w:val="20"/>
            <w:szCs w:val="20"/>
            <w:u w:val="single"/>
            <w:lang w:eastAsia="en-IN"/>
          </w:rPr>
          <w:t>“simMixedDAG”</w:t>
        </w:r>
      </w:hyperlink>
      <w:r w:rsidRPr="006A1BDE">
        <w:rPr>
          <w:rFonts w:ascii="Times New Roman" w:eastAsia="Times New Roman" w:hAnsi="Times New Roman" w:cs="Times New Roman"/>
          <w:sz w:val="20"/>
          <w:szCs w:val="20"/>
          <w:lang w:eastAsia="en-IN"/>
        </w:rPr>
        <w:t>.</w:t>
      </w:r>
    </w:p>
    <w:p w14:paraId="3350F7C9"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In this post I’ll introduce the package and demonstrate it’s features.</w:t>
      </w:r>
    </w:p>
    <w:p w14:paraId="443EB8BB"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You can install the “simMixedDAG” package from github. I like doing so using the great “pacman” package:</w:t>
      </w:r>
    </w:p>
    <w:p w14:paraId="3541A830"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pacman::p_load_gh("IyarLin/simMixedDAG")</w:t>
      </w:r>
    </w:p>
    <w:p w14:paraId="32DE1381" w14:textId="77777777" w:rsidR="006A1BDE" w:rsidRPr="006A1BDE" w:rsidRDefault="006A1BDE" w:rsidP="006A1BD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A1BDE">
        <w:rPr>
          <w:rFonts w:ascii="Times New Roman" w:eastAsia="Times New Roman" w:hAnsi="Times New Roman" w:cs="Times New Roman"/>
          <w:b/>
          <w:bCs/>
          <w:kern w:val="36"/>
          <w:sz w:val="48"/>
          <w:szCs w:val="48"/>
          <w:lang w:eastAsia="en-IN"/>
        </w:rPr>
        <w:t>Non parametric DAG simulation</w:t>
      </w:r>
    </w:p>
    <w:p w14:paraId="0C9EFC15"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When simulating data from a DAG, one has to specify for every node \(x_j\) some data generating process \(f_j\) which defines how the node is simulated from it’s parent nodes \(PA_j\). The DAG structure along with the functions \(f_j\) compose what I refere to as a “DAG model”.</w:t>
      </w:r>
    </w:p>
    <w:p w14:paraId="4A39584B"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Trying to specify non-parametric \(f_j\) can be pretty tedious (essentially drawing by hand the different marginal and joint distributions) and can also be not very realistic as not many of us have a good intuition as to how a “real life” non parametric distribution looks like.</w:t>
      </w:r>
    </w:p>
    <w:p w14:paraId="14FD0499"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 xml:space="preserve">What we can do instead is define the functions \(f_j\) as </w:t>
      </w:r>
      <w:hyperlink r:id="rId8" w:tgtFrame="_blank" w:history="1">
        <w:r w:rsidRPr="006A1BDE">
          <w:rPr>
            <w:rFonts w:ascii="Times New Roman" w:eastAsia="Times New Roman" w:hAnsi="Times New Roman" w:cs="Times New Roman"/>
            <w:color w:val="0000FF"/>
            <w:sz w:val="20"/>
            <w:szCs w:val="20"/>
            <w:u w:val="single"/>
            <w:lang w:eastAsia="en-IN"/>
          </w:rPr>
          <w:t>generalized additive models</w:t>
        </w:r>
      </w:hyperlink>
      <w:r w:rsidRPr="006A1BDE">
        <w:rPr>
          <w:rFonts w:ascii="Times New Roman" w:eastAsia="Times New Roman" w:hAnsi="Times New Roman" w:cs="Times New Roman"/>
          <w:sz w:val="20"/>
          <w:szCs w:val="20"/>
          <w:lang w:eastAsia="en-IN"/>
        </w:rPr>
        <w:t>:</w:t>
      </w:r>
    </w:p>
    <w:p w14:paraId="49A622C5"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\[x_j = f_j(PA_j) = g\left(\sum_{i \in PA_j}s_{ij}(x_i) + \epsilon_j\right)\]</w:t>
      </w:r>
    </w:p>
    <w:p w14:paraId="0590BA75"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where \(g\) is a link function and \(s_{ij}(x_i)\) are smoothing functions.</w:t>
      </w:r>
    </w:p>
    <w:p w14:paraId="1C4DDAA5"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lastRenderedPageBreak/>
        <w:t>Next, assuming some DAG we can fit the smoothing functions \(s_{ij}(x_i)\) from a real life dataset. The fitted functions can now be used to simulate new datasets. The resulting datasets have a known underlying DAG while maintaining marginal and joint distributions similar to those observed in a “real life” dataset.</w:t>
      </w:r>
    </w:p>
    <w:p w14:paraId="71C9B1FF" w14:textId="77777777" w:rsidR="006A1BDE" w:rsidRPr="006A1BDE" w:rsidRDefault="006A1BDE" w:rsidP="006A1BD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A1BDE">
        <w:rPr>
          <w:rFonts w:ascii="Times New Roman" w:eastAsia="Times New Roman" w:hAnsi="Times New Roman" w:cs="Times New Roman"/>
          <w:b/>
          <w:bCs/>
          <w:sz w:val="36"/>
          <w:szCs w:val="36"/>
          <w:lang w:eastAsia="en-IN"/>
        </w:rPr>
        <w:t>Fitting and simulating a non paramateric DAG – an example</w:t>
      </w:r>
    </w:p>
    <w:p w14:paraId="61BE7D78"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 xml:space="preserve">In this example we’ll use the </w:t>
      </w:r>
      <w:hyperlink r:id="rId9" w:tgtFrame="_blank" w:history="1">
        <w:r w:rsidRPr="006A1BDE">
          <w:rPr>
            <w:rFonts w:ascii="Times New Roman" w:eastAsia="Times New Roman" w:hAnsi="Times New Roman" w:cs="Times New Roman"/>
            <w:color w:val="0000FF"/>
            <w:sz w:val="20"/>
            <w:szCs w:val="20"/>
            <w:u w:val="single"/>
            <w:lang w:eastAsia="en-IN"/>
          </w:rPr>
          <w:t>General Social Survey</w:t>
        </w:r>
      </w:hyperlink>
      <w:r w:rsidRPr="006A1BDE">
        <w:rPr>
          <w:rFonts w:ascii="Times New Roman" w:eastAsia="Times New Roman" w:hAnsi="Times New Roman" w:cs="Times New Roman"/>
          <w:sz w:val="20"/>
          <w:szCs w:val="20"/>
          <w:lang w:eastAsia="en-IN"/>
        </w:rPr>
        <w:t xml:space="preserve"> dataset.</w:t>
      </w:r>
    </w:p>
    <w:p w14:paraId="63E04BEB"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We’ll assume the following DAG for a subset of the variables:</w:t>
      </w:r>
    </w:p>
    <w:p w14:paraId="2ECD62B8"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noProof/>
          <w:sz w:val="20"/>
          <w:szCs w:val="20"/>
          <w:lang w:eastAsia="en-IN"/>
        </w:rPr>
        <w:drawing>
          <wp:inline distT="0" distB="0" distL="0" distR="0" wp14:anchorId="5CFC85F2" wp14:editId="5EAB7605">
            <wp:extent cx="4290060" cy="42900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1850F959"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The following piece of code fits the smoothing functions \(s_{ij}(x_i)\) and stores them in an object of class “non_parametric_dag_model”:</w:t>
      </w:r>
    </w:p>
    <w:p w14:paraId="757A9043"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non_param_dag_model &lt;-</w:t>
      </w:r>
    </w:p>
    <w:p w14:paraId="79FD5EBC"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non_parametric_dag_model(</w:t>
      </w:r>
    </w:p>
    <w:p w14:paraId="08285101"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dag = g,</w:t>
      </w:r>
    </w:p>
    <w:p w14:paraId="0DB84CD6"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data = GSSvocab</w:t>
      </w:r>
    </w:p>
    <w:p w14:paraId="72686D6E"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w:t>
      </w:r>
    </w:p>
    <w:p w14:paraId="2B3AFDF0"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 xml:space="preserve">Simulating new data from the </w:t>
      </w:r>
      <w:r w:rsidRPr="006A1BDE">
        <w:rPr>
          <w:rFonts w:ascii="Courier New" w:eastAsia="Times New Roman" w:hAnsi="Courier New" w:cs="Courier New"/>
          <w:sz w:val="20"/>
          <w:szCs w:val="20"/>
          <w:lang w:eastAsia="en-IN"/>
        </w:rPr>
        <w:t>dag_model</w:t>
      </w:r>
      <w:r w:rsidRPr="006A1BDE">
        <w:rPr>
          <w:rFonts w:ascii="Times New Roman" w:eastAsia="Times New Roman" w:hAnsi="Times New Roman" w:cs="Times New Roman"/>
          <w:sz w:val="20"/>
          <w:szCs w:val="20"/>
          <w:lang w:eastAsia="en-IN"/>
        </w:rPr>
        <w:t xml:space="preserve"> object is simple as running:</w:t>
      </w:r>
    </w:p>
    <w:p w14:paraId="112CA619"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sim_data &lt;-</w:t>
      </w:r>
    </w:p>
    <w:p w14:paraId="78ECD29D"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sim_mixed_dag(</w:t>
      </w:r>
    </w:p>
    <w:p w14:paraId="3058C074"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dag_model = non_param_dag_model,</w:t>
      </w:r>
    </w:p>
    <w:p w14:paraId="57DBFFE0"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N = 30000</w:t>
      </w:r>
    </w:p>
    <w:p w14:paraId="2DF41722"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w:t>
      </w:r>
    </w:p>
    <w:p w14:paraId="08283644"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lastRenderedPageBreak/>
        <w:t>We can verify that indeed the original distributions are mostly preserved in the simulated dataset:</w:t>
      </w:r>
    </w:p>
    <w:p w14:paraId="09B68A0D"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noProof/>
          <w:sz w:val="20"/>
          <w:szCs w:val="20"/>
          <w:lang w:eastAsia="en-IN"/>
        </w:rPr>
        <w:drawing>
          <wp:inline distT="0" distB="0" distL="0" distR="0" wp14:anchorId="72DB873D" wp14:editId="6AE01ECD">
            <wp:extent cx="4290060" cy="35737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573780"/>
                    </a:xfrm>
                    <a:prstGeom prst="rect">
                      <a:avLst/>
                    </a:prstGeom>
                    <a:noFill/>
                    <a:ln>
                      <a:noFill/>
                    </a:ln>
                  </pic:spPr>
                </pic:pic>
              </a:graphicData>
            </a:graphic>
          </wp:inline>
        </w:drawing>
      </w:r>
    </w:p>
    <w:p w14:paraId="3ADAC2CE"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noProof/>
          <w:sz w:val="20"/>
          <w:szCs w:val="20"/>
          <w:lang w:eastAsia="en-IN"/>
        </w:rPr>
        <w:drawing>
          <wp:inline distT="0" distB="0" distL="0" distR="0" wp14:anchorId="330A9130" wp14:editId="3770BBE0">
            <wp:extent cx="4290060" cy="35737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573780"/>
                    </a:xfrm>
                    <a:prstGeom prst="rect">
                      <a:avLst/>
                    </a:prstGeom>
                    <a:noFill/>
                    <a:ln>
                      <a:noFill/>
                    </a:ln>
                  </pic:spPr>
                </pic:pic>
              </a:graphicData>
            </a:graphic>
          </wp:inline>
        </w:drawing>
      </w:r>
    </w:p>
    <w:p w14:paraId="75702782"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We notice vocab on the original dataset was constrained to the integers 0-10, while in the simulated dataset it was transformed to continuous with some values extending beyond the 0-10 range.</w:t>
      </w:r>
    </w:p>
    <w:p w14:paraId="6AA89BC9"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noProof/>
          <w:sz w:val="20"/>
          <w:szCs w:val="20"/>
          <w:lang w:eastAsia="en-IN"/>
        </w:rPr>
        <w:lastRenderedPageBreak/>
        <w:drawing>
          <wp:inline distT="0" distB="0" distL="0" distR="0" wp14:anchorId="7AE44741" wp14:editId="228E8260">
            <wp:extent cx="4290060" cy="35737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573780"/>
                    </a:xfrm>
                    <a:prstGeom prst="rect">
                      <a:avLst/>
                    </a:prstGeom>
                    <a:noFill/>
                    <a:ln>
                      <a:noFill/>
                    </a:ln>
                  </pic:spPr>
                </pic:pic>
              </a:graphicData>
            </a:graphic>
          </wp:inline>
        </w:drawing>
      </w:r>
    </w:p>
    <w:tbl>
      <w:tblPr>
        <w:tblW w:w="2150" w:type="pct"/>
        <w:tblCellSpacing w:w="15" w:type="dxa"/>
        <w:tblCellMar>
          <w:top w:w="15" w:type="dxa"/>
          <w:left w:w="15" w:type="dxa"/>
          <w:bottom w:w="15" w:type="dxa"/>
          <w:right w:w="15" w:type="dxa"/>
        </w:tblCellMar>
        <w:tblLook w:val="04A0" w:firstRow="1" w:lastRow="0" w:firstColumn="1" w:lastColumn="0" w:noHBand="0" w:noVBand="1"/>
      </w:tblPr>
      <w:tblGrid>
        <w:gridCol w:w="1763"/>
        <w:gridCol w:w="1066"/>
        <w:gridCol w:w="1052"/>
      </w:tblGrid>
      <w:tr w:rsidR="006A1BDE" w:rsidRPr="006A1BDE" w14:paraId="3E2492A3" w14:textId="77777777" w:rsidTr="006A1BDE">
        <w:trPr>
          <w:tblHeader/>
          <w:tblCellSpacing w:w="15" w:type="dxa"/>
        </w:trPr>
        <w:tc>
          <w:tcPr>
            <w:tcW w:w="0" w:type="auto"/>
            <w:gridSpan w:val="3"/>
            <w:tcBorders>
              <w:top w:val="nil"/>
              <w:left w:val="nil"/>
              <w:bottom w:val="nil"/>
              <w:right w:val="nil"/>
            </w:tcBorders>
            <w:vAlign w:val="center"/>
            <w:hideMark/>
          </w:tcPr>
          <w:p w14:paraId="616D6E12"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Original data</w:t>
            </w:r>
          </w:p>
        </w:tc>
      </w:tr>
      <w:tr w:rsidR="006A1BDE" w:rsidRPr="006A1BDE" w14:paraId="3F8E55F6" w14:textId="77777777" w:rsidTr="006A1BDE">
        <w:trPr>
          <w:tblHeader/>
          <w:tblCellSpacing w:w="15" w:type="dxa"/>
        </w:trPr>
        <w:tc>
          <w:tcPr>
            <w:tcW w:w="0" w:type="auto"/>
            <w:vAlign w:val="center"/>
            <w:hideMark/>
          </w:tcPr>
          <w:p w14:paraId="1C1A58D9" w14:textId="77777777" w:rsidR="006A1BDE" w:rsidRPr="006A1BDE" w:rsidRDefault="006A1BDE" w:rsidP="006A1BDE">
            <w:pPr>
              <w:spacing w:after="0" w:line="240" w:lineRule="auto"/>
              <w:jc w:val="center"/>
              <w:rPr>
                <w:rFonts w:ascii="Times New Roman" w:eastAsia="Times New Roman" w:hAnsi="Times New Roman" w:cs="Times New Roman"/>
                <w:b/>
                <w:bCs/>
                <w:sz w:val="24"/>
                <w:szCs w:val="24"/>
                <w:lang w:eastAsia="en-IN"/>
              </w:rPr>
            </w:pPr>
            <w:r w:rsidRPr="006A1BDE">
              <w:rPr>
                <w:rFonts w:ascii="Times New Roman" w:eastAsia="Times New Roman" w:hAnsi="Times New Roman" w:cs="Times New Roman"/>
                <w:b/>
                <w:bCs/>
                <w:sz w:val="24"/>
                <w:szCs w:val="24"/>
                <w:lang w:eastAsia="en-IN"/>
              </w:rPr>
              <w:t>nativeBorn</w:t>
            </w:r>
          </w:p>
        </w:tc>
        <w:tc>
          <w:tcPr>
            <w:tcW w:w="0" w:type="auto"/>
            <w:vAlign w:val="center"/>
            <w:hideMark/>
          </w:tcPr>
          <w:p w14:paraId="39CF4A4F" w14:textId="77777777" w:rsidR="006A1BDE" w:rsidRPr="006A1BDE" w:rsidRDefault="006A1BDE" w:rsidP="006A1BDE">
            <w:pPr>
              <w:spacing w:after="0" w:line="240" w:lineRule="auto"/>
              <w:jc w:val="center"/>
              <w:rPr>
                <w:rFonts w:ascii="Times New Roman" w:eastAsia="Times New Roman" w:hAnsi="Times New Roman" w:cs="Times New Roman"/>
                <w:b/>
                <w:bCs/>
                <w:sz w:val="24"/>
                <w:szCs w:val="24"/>
                <w:lang w:eastAsia="en-IN"/>
              </w:rPr>
            </w:pPr>
            <w:r w:rsidRPr="006A1BDE">
              <w:rPr>
                <w:rFonts w:ascii="Times New Roman" w:eastAsia="Times New Roman" w:hAnsi="Times New Roman" w:cs="Times New Roman"/>
                <w:b/>
                <w:bCs/>
                <w:sz w:val="24"/>
                <w:szCs w:val="24"/>
                <w:lang w:eastAsia="en-IN"/>
              </w:rPr>
              <w:t>female</w:t>
            </w:r>
          </w:p>
        </w:tc>
        <w:tc>
          <w:tcPr>
            <w:tcW w:w="0" w:type="auto"/>
            <w:vAlign w:val="center"/>
            <w:hideMark/>
          </w:tcPr>
          <w:p w14:paraId="60628B7E" w14:textId="77777777" w:rsidR="006A1BDE" w:rsidRPr="006A1BDE" w:rsidRDefault="006A1BDE" w:rsidP="006A1BDE">
            <w:pPr>
              <w:spacing w:after="0" w:line="240" w:lineRule="auto"/>
              <w:jc w:val="center"/>
              <w:rPr>
                <w:rFonts w:ascii="Times New Roman" w:eastAsia="Times New Roman" w:hAnsi="Times New Roman" w:cs="Times New Roman"/>
                <w:b/>
                <w:bCs/>
                <w:sz w:val="24"/>
                <w:szCs w:val="24"/>
                <w:lang w:eastAsia="en-IN"/>
              </w:rPr>
            </w:pPr>
            <w:r w:rsidRPr="006A1BDE">
              <w:rPr>
                <w:rFonts w:ascii="Times New Roman" w:eastAsia="Times New Roman" w:hAnsi="Times New Roman" w:cs="Times New Roman"/>
                <w:b/>
                <w:bCs/>
                <w:sz w:val="24"/>
                <w:szCs w:val="24"/>
                <w:lang w:eastAsia="en-IN"/>
              </w:rPr>
              <w:t>male</w:t>
            </w:r>
          </w:p>
        </w:tc>
      </w:tr>
      <w:tr w:rsidR="006A1BDE" w:rsidRPr="006A1BDE" w14:paraId="0A7A6590" w14:textId="77777777" w:rsidTr="006A1BDE">
        <w:trPr>
          <w:tblCellSpacing w:w="15" w:type="dxa"/>
        </w:trPr>
        <w:tc>
          <w:tcPr>
            <w:tcW w:w="0" w:type="auto"/>
            <w:vAlign w:val="center"/>
            <w:hideMark/>
          </w:tcPr>
          <w:p w14:paraId="52849B81"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no</w:t>
            </w:r>
          </w:p>
        </w:tc>
        <w:tc>
          <w:tcPr>
            <w:tcW w:w="0" w:type="auto"/>
            <w:vAlign w:val="center"/>
            <w:hideMark/>
          </w:tcPr>
          <w:p w14:paraId="444E753C"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0.0469</w:t>
            </w:r>
          </w:p>
        </w:tc>
        <w:tc>
          <w:tcPr>
            <w:tcW w:w="0" w:type="auto"/>
            <w:vAlign w:val="center"/>
            <w:hideMark/>
          </w:tcPr>
          <w:p w14:paraId="10F462AE"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0.0387</w:t>
            </w:r>
          </w:p>
        </w:tc>
      </w:tr>
      <w:tr w:rsidR="006A1BDE" w:rsidRPr="006A1BDE" w14:paraId="07FABD73" w14:textId="77777777" w:rsidTr="006A1BDE">
        <w:trPr>
          <w:tblCellSpacing w:w="15" w:type="dxa"/>
        </w:trPr>
        <w:tc>
          <w:tcPr>
            <w:tcW w:w="0" w:type="auto"/>
            <w:vAlign w:val="center"/>
            <w:hideMark/>
          </w:tcPr>
          <w:p w14:paraId="1496E935"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yes</w:t>
            </w:r>
          </w:p>
        </w:tc>
        <w:tc>
          <w:tcPr>
            <w:tcW w:w="0" w:type="auto"/>
            <w:vAlign w:val="center"/>
            <w:hideMark/>
          </w:tcPr>
          <w:p w14:paraId="7C7D49F3"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0.52</w:t>
            </w:r>
          </w:p>
        </w:tc>
        <w:tc>
          <w:tcPr>
            <w:tcW w:w="0" w:type="auto"/>
            <w:vAlign w:val="center"/>
            <w:hideMark/>
          </w:tcPr>
          <w:p w14:paraId="6D8AFC37"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0.394</w:t>
            </w:r>
          </w:p>
        </w:tc>
      </w:tr>
    </w:tbl>
    <w:p w14:paraId="394294CF" w14:textId="77777777" w:rsidR="006A1BDE" w:rsidRPr="006A1BDE" w:rsidRDefault="006A1BDE" w:rsidP="006A1BDE">
      <w:pPr>
        <w:spacing w:after="0" w:line="240" w:lineRule="auto"/>
        <w:rPr>
          <w:rFonts w:ascii="Times New Roman" w:eastAsia="Times New Roman" w:hAnsi="Times New Roman" w:cs="Times New Roman"/>
          <w:vanish/>
          <w:sz w:val="20"/>
          <w:szCs w:val="20"/>
          <w:lang w:eastAsia="en-IN"/>
        </w:rPr>
      </w:pPr>
    </w:p>
    <w:tbl>
      <w:tblPr>
        <w:tblW w:w="2150" w:type="pct"/>
        <w:tblCellSpacing w:w="15" w:type="dxa"/>
        <w:tblCellMar>
          <w:top w:w="15" w:type="dxa"/>
          <w:left w:w="15" w:type="dxa"/>
          <w:bottom w:w="15" w:type="dxa"/>
          <w:right w:w="15" w:type="dxa"/>
        </w:tblCellMar>
        <w:tblLook w:val="04A0" w:firstRow="1" w:lastRow="0" w:firstColumn="1" w:lastColumn="0" w:noHBand="0" w:noVBand="1"/>
      </w:tblPr>
      <w:tblGrid>
        <w:gridCol w:w="1846"/>
        <w:gridCol w:w="1117"/>
        <w:gridCol w:w="918"/>
      </w:tblGrid>
      <w:tr w:rsidR="006A1BDE" w:rsidRPr="006A1BDE" w14:paraId="025E0DF1" w14:textId="77777777" w:rsidTr="006A1BDE">
        <w:trPr>
          <w:tblHeader/>
          <w:tblCellSpacing w:w="15" w:type="dxa"/>
        </w:trPr>
        <w:tc>
          <w:tcPr>
            <w:tcW w:w="0" w:type="auto"/>
            <w:gridSpan w:val="3"/>
            <w:tcBorders>
              <w:top w:val="nil"/>
              <w:left w:val="nil"/>
              <w:bottom w:val="nil"/>
              <w:right w:val="nil"/>
            </w:tcBorders>
            <w:vAlign w:val="center"/>
            <w:hideMark/>
          </w:tcPr>
          <w:p w14:paraId="4A538D3C"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Simulated data</w:t>
            </w:r>
          </w:p>
        </w:tc>
      </w:tr>
      <w:tr w:rsidR="006A1BDE" w:rsidRPr="006A1BDE" w14:paraId="2A85A7C9" w14:textId="77777777" w:rsidTr="006A1BDE">
        <w:trPr>
          <w:tblHeader/>
          <w:tblCellSpacing w:w="15" w:type="dxa"/>
        </w:trPr>
        <w:tc>
          <w:tcPr>
            <w:tcW w:w="0" w:type="auto"/>
            <w:vAlign w:val="center"/>
            <w:hideMark/>
          </w:tcPr>
          <w:p w14:paraId="6D49938A" w14:textId="77777777" w:rsidR="006A1BDE" w:rsidRPr="006A1BDE" w:rsidRDefault="006A1BDE" w:rsidP="006A1BDE">
            <w:pPr>
              <w:spacing w:after="0" w:line="240" w:lineRule="auto"/>
              <w:jc w:val="center"/>
              <w:rPr>
                <w:rFonts w:ascii="Times New Roman" w:eastAsia="Times New Roman" w:hAnsi="Times New Roman" w:cs="Times New Roman"/>
                <w:b/>
                <w:bCs/>
                <w:sz w:val="24"/>
                <w:szCs w:val="24"/>
                <w:lang w:eastAsia="en-IN"/>
              </w:rPr>
            </w:pPr>
            <w:r w:rsidRPr="006A1BDE">
              <w:rPr>
                <w:rFonts w:ascii="Times New Roman" w:eastAsia="Times New Roman" w:hAnsi="Times New Roman" w:cs="Times New Roman"/>
                <w:b/>
                <w:bCs/>
                <w:sz w:val="24"/>
                <w:szCs w:val="24"/>
                <w:lang w:eastAsia="en-IN"/>
              </w:rPr>
              <w:t>nativeBorn</w:t>
            </w:r>
          </w:p>
        </w:tc>
        <w:tc>
          <w:tcPr>
            <w:tcW w:w="0" w:type="auto"/>
            <w:vAlign w:val="center"/>
            <w:hideMark/>
          </w:tcPr>
          <w:p w14:paraId="3AAE0FCB" w14:textId="77777777" w:rsidR="006A1BDE" w:rsidRPr="006A1BDE" w:rsidRDefault="006A1BDE" w:rsidP="006A1BDE">
            <w:pPr>
              <w:spacing w:after="0" w:line="240" w:lineRule="auto"/>
              <w:jc w:val="center"/>
              <w:rPr>
                <w:rFonts w:ascii="Times New Roman" w:eastAsia="Times New Roman" w:hAnsi="Times New Roman" w:cs="Times New Roman"/>
                <w:b/>
                <w:bCs/>
                <w:sz w:val="24"/>
                <w:szCs w:val="24"/>
                <w:lang w:eastAsia="en-IN"/>
              </w:rPr>
            </w:pPr>
            <w:r w:rsidRPr="006A1BDE">
              <w:rPr>
                <w:rFonts w:ascii="Times New Roman" w:eastAsia="Times New Roman" w:hAnsi="Times New Roman" w:cs="Times New Roman"/>
                <w:b/>
                <w:bCs/>
                <w:sz w:val="24"/>
                <w:szCs w:val="24"/>
                <w:lang w:eastAsia="en-IN"/>
              </w:rPr>
              <w:t>female</w:t>
            </w:r>
          </w:p>
        </w:tc>
        <w:tc>
          <w:tcPr>
            <w:tcW w:w="0" w:type="auto"/>
            <w:vAlign w:val="center"/>
            <w:hideMark/>
          </w:tcPr>
          <w:p w14:paraId="42A0B67D" w14:textId="77777777" w:rsidR="006A1BDE" w:rsidRPr="006A1BDE" w:rsidRDefault="006A1BDE" w:rsidP="006A1BDE">
            <w:pPr>
              <w:spacing w:after="0" w:line="240" w:lineRule="auto"/>
              <w:jc w:val="center"/>
              <w:rPr>
                <w:rFonts w:ascii="Times New Roman" w:eastAsia="Times New Roman" w:hAnsi="Times New Roman" w:cs="Times New Roman"/>
                <w:b/>
                <w:bCs/>
                <w:sz w:val="24"/>
                <w:szCs w:val="24"/>
                <w:lang w:eastAsia="en-IN"/>
              </w:rPr>
            </w:pPr>
            <w:r w:rsidRPr="006A1BDE">
              <w:rPr>
                <w:rFonts w:ascii="Times New Roman" w:eastAsia="Times New Roman" w:hAnsi="Times New Roman" w:cs="Times New Roman"/>
                <w:b/>
                <w:bCs/>
                <w:sz w:val="24"/>
                <w:szCs w:val="24"/>
                <w:lang w:eastAsia="en-IN"/>
              </w:rPr>
              <w:t>male</w:t>
            </w:r>
          </w:p>
        </w:tc>
      </w:tr>
      <w:tr w:rsidR="006A1BDE" w:rsidRPr="006A1BDE" w14:paraId="3479AE7F" w14:textId="77777777" w:rsidTr="006A1BDE">
        <w:trPr>
          <w:tblCellSpacing w:w="15" w:type="dxa"/>
        </w:trPr>
        <w:tc>
          <w:tcPr>
            <w:tcW w:w="0" w:type="auto"/>
            <w:vAlign w:val="center"/>
            <w:hideMark/>
          </w:tcPr>
          <w:p w14:paraId="6482A3B5"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no</w:t>
            </w:r>
          </w:p>
        </w:tc>
        <w:tc>
          <w:tcPr>
            <w:tcW w:w="0" w:type="auto"/>
            <w:vAlign w:val="center"/>
            <w:hideMark/>
          </w:tcPr>
          <w:p w14:paraId="02CF40DB"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0.0494</w:t>
            </w:r>
          </w:p>
        </w:tc>
        <w:tc>
          <w:tcPr>
            <w:tcW w:w="0" w:type="auto"/>
            <w:vAlign w:val="center"/>
            <w:hideMark/>
          </w:tcPr>
          <w:p w14:paraId="63F7CCD3"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0.035</w:t>
            </w:r>
          </w:p>
        </w:tc>
      </w:tr>
      <w:tr w:rsidR="006A1BDE" w:rsidRPr="006A1BDE" w14:paraId="719D56DA" w14:textId="77777777" w:rsidTr="006A1BDE">
        <w:trPr>
          <w:tblCellSpacing w:w="15" w:type="dxa"/>
        </w:trPr>
        <w:tc>
          <w:tcPr>
            <w:tcW w:w="0" w:type="auto"/>
            <w:vAlign w:val="center"/>
            <w:hideMark/>
          </w:tcPr>
          <w:p w14:paraId="3B280193"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yes</w:t>
            </w:r>
          </w:p>
        </w:tc>
        <w:tc>
          <w:tcPr>
            <w:tcW w:w="0" w:type="auto"/>
            <w:vAlign w:val="center"/>
            <w:hideMark/>
          </w:tcPr>
          <w:p w14:paraId="08D12A2A"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0.52</w:t>
            </w:r>
          </w:p>
        </w:tc>
        <w:tc>
          <w:tcPr>
            <w:tcW w:w="0" w:type="auto"/>
            <w:vAlign w:val="center"/>
            <w:hideMark/>
          </w:tcPr>
          <w:p w14:paraId="5B4B44DA"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0.395</w:t>
            </w:r>
          </w:p>
        </w:tc>
      </w:tr>
    </w:tbl>
    <w:p w14:paraId="3C19EC78" w14:textId="77777777" w:rsidR="006A1BDE" w:rsidRPr="006A1BDE" w:rsidRDefault="006A1BDE" w:rsidP="006A1BD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A1BDE">
        <w:rPr>
          <w:rFonts w:ascii="Times New Roman" w:eastAsia="Times New Roman" w:hAnsi="Times New Roman" w:cs="Times New Roman"/>
          <w:b/>
          <w:bCs/>
          <w:kern w:val="36"/>
          <w:sz w:val="48"/>
          <w:szCs w:val="48"/>
          <w:lang w:eastAsia="en-IN"/>
        </w:rPr>
        <w:t>Paramteric DAG simulation</w:t>
      </w:r>
    </w:p>
    <w:p w14:paraId="49919A6D"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The simMixedDAG provides functions for simulation of complex parametric DAG models as well. These can come handy when one wants to have more control over the specific functions \(f_j\). At it’s most basic form it can be used to simulate simple Gaussian nodes:</w:t>
      </w:r>
    </w:p>
    <w:p w14:paraId="71DE1179"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\[f_j(PA_j) = lp + \epsilon_j\] where \(lp\) is the linear combination of the node parents: \(lp = \sum_{i \in PA_j}\beta_{ij}x_i\).</w:t>
      </w:r>
    </w:p>
    <w:p w14:paraId="6F5152E7" w14:textId="77777777" w:rsidR="006A1BDE" w:rsidRPr="006A1BDE" w:rsidRDefault="006A1BDE" w:rsidP="006A1BD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A1BDE">
        <w:rPr>
          <w:rFonts w:ascii="Times New Roman" w:eastAsia="Times New Roman" w:hAnsi="Times New Roman" w:cs="Times New Roman"/>
          <w:b/>
          <w:bCs/>
          <w:sz w:val="36"/>
          <w:szCs w:val="36"/>
          <w:lang w:eastAsia="en-IN"/>
        </w:rPr>
        <w:t>Specifying and simulating a paramateric DAG – an example</w:t>
      </w:r>
    </w:p>
    <w:p w14:paraId="1DE6632D"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 xml:space="preserve">In this example we’ll use the DAG presented on my </w:t>
      </w:r>
      <w:hyperlink r:id="rId14" w:tgtFrame="_blank" w:history="1">
        <w:r w:rsidRPr="006A1BDE">
          <w:rPr>
            <w:rFonts w:ascii="Times New Roman" w:eastAsia="Times New Roman" w:hAnsi="Times New Roman" w:cs="Times New Roman"/>
            <w:color w:val="0000FF"/>
            <w:sz w:val="20"/>
            <w:szCs w:val="20"/>
            <w:u w:val="single"/>
            <w:lang w:eastAsia="en-IN"/>
          </w:rPr>
          <w:t>first post</w:t>
        </w:r>
      </w:hyperlink>
      <w:r w:rsidRPr="006A1BDE">
        <w:rPr>
          <w:rFonts w:ascii="Times New Roman" w:eastAsia="Times New Roman" w:hAnsi="Times New Roman" w:cs="Times New Roman"/>
          <w:sz w:val="20"/>
          <w:szCs w:val="20"/>
          <w:lang w:eastAsia="en-IN"/>
        </w:rPr>
        <w:t>:</w:t>
      </w:r>
    </w:p>
    <w:p w14:paraId="2A77878C"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noProof/>
          <w:sz w:val="20"/>
          <w:szCs w:val="20"/>
          <w:lang w:eastAsia="en-IN"/>
        </w:rPr>
        <w:lastRenderedPageBreak/>
        <w:drawing>
          <wp:inline distT="0" distB="0" distL="0" distR="0" wp14:anchorId="502C56CB" wp14:editId="500A933F">
            <wp:extent cx="4290060" cy="35737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3573780"/>
                    </a:xfrm>
                    <a:prstGeom prst="rect">
                      <a:avLst/>
                    </a:prstGeom>
                    <a:noFill/>
                    <a:ln>
                      <a:noFill/>
                    </a:ln>
                  </pic:spPr>
                </pic:pic>
              </a:graphicData>
            </a:graphic>
          </wp:inline>
        </w:drawing>
      </w:r>
    </w:p>
    <w:p w14:paraId="4697C34D"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In the next few lines I specify a simple parametric DAG model with all Gaussian nodes and simulate a dataset from that model:</w:t>
      </w:r>
    </w:p>
    <w:p w14:paraId="472C38B7"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set.seed(2)</w:t>
      </w:r>
    </w:p>
    <w:p w14:paraId="068892DC"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param_dag_model &lt;- parametric_dag_model(dag = g)</w:t>
      </w:r>
    </w:p>
    <w:p w14:paraId="4076B540"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sim_data &lt;- sim_mixed_dag(dag_model = param_dag_model, </w:t>
      </w:r>
    </w:p>
    <w:p w14:paraId="25141BFD"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N = 500)</w:t>
      </w:r>
    </w:p>
    <w:p w14:paraId="0F82742F"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sim_data %&gt;% ggplot(aes(comp, sales)) + geom_point() +</w:t>
      </w:r>
    </w:p>
    <w:p w14:paraId="1AAFD630"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stat_smooth(method = "lm")</w:t>
      </w:r>
    </w:p>
    <w:p w14:paraId="66B8C23B"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noProof/>
          <w:sz w:val="20"/>
          <w:szCs w:val="20"/>
          <w:lang w:eastAsia="en-IN"/>
        </w:rPr>
        <w:drawing>
          <wp:inline distT="0" distB="0" distL="0" distR="0" wp14:anchorId="40BFA823" wp14:editId="13A20ECD">
            <wp:extent cx="4290060" cy="35737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3573780"/>
                    </a:xfrm>
                    <a:prstGeom prst="rect">
                      <a:avLst/>
                    </a:prstGeom>
                    <a:noFill/>
                    <a:ln>
                      <a:noFill/>
                    </a:ln>
                  </pic:spPr>
                </pic:pic>
              </a:graphicData>
            </a:graphic>
          </wp:inline>
        </w:drawing>
      </w:r>
    </w:p>
    <w:p w14:paraId="5900469F"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lastRenderedPageBreak/>
        <w:t>In the code above we didn’t specify what the \(\beta\) coefficients are. Those are thus drawn from a standard normal distribution.</w:t>
      </w:r>
    </w:p>
    <w:p w14:paraId="7AA21EE5"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 xml:space="preserve">We can manually set beta coefficients by providing an additional </w:t>
      </w:r>
      <w:r w:rsidRPr="006A1BDE">
        <w:rPr>
          <w:rFonts w:ascii="Courier New" w:eastAsia="Times New Roman" w:hAnsi="Courier New" w:cs="Courier New"/>
          <w:sz w:val="20"/>
          <w:szCs w:val="20"/>
          <w:lang w:eastAsia="en-IN"/>
        </w:rPr>
        <w:t>f.args</w:t>
      </w:r>
      <w:r w:rsidRPr="006A1BDE">
        <w:rPr>
          <w:rFonts w:ascii="Times New Roman" w:eastAsia="Times New Roman" w:hAnsi="Times New Roman" w:cs="Times New Roman"/>
          <w:sz w:val="20"/>
          <w:szCs w:val="20"/>
          <w:lang w:eastAsia="en-IN"/>
        </w:rPr>
        <w:t xml:space="preserve"> argument as follows:</w:t>
      </w:r>
    </w:p>
    <w:p w14:paraId="38882EED"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set.seed(1)</w:t>
      </w:r>
    </w:p>
    <w:p w14:paraId="5B7D1E20"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param_dag_model &lt;-</w:t>
      </w:r>
    </w:p>
    <w:p w14:paraId="69F99E45"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parametric_dag_model(</w:t>
      </w:r>
    </w:p>
    <w:p w14:paraId="2839A571"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dag = g, f.args =</w:t>
      </w:r>
    </w:p>
    <w:p w14:paraId="468CBADD"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list(sales = list(betas = list(comp = -2)))</w:t>
      </w:r>
    </w:p>
    <w:p w14:paraId="1FE98FD2"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w:t>
      </w:r>
    </w:p>
    <w:p w14:paraId="5E3F3577"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sim_data &lt;- sim_mixed_dag(param_dag_model, N = 500)</w:t>
      </w:r>
    </w:p>
    <w:p w14:paraId="39F30FB1"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sim_data %&gt;% ggplot(aes(comp, sales)) + geom_point() +</w:t>
      </w:r>
    </w:p>
    <w:p w14:paraId="3CADBDA3"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stat_smooth(method = "lm")</w:t>
      </w:r>
    </w:p>
    <w:p w14:paraId="7050E2DD"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noProof/>
          <w:sz w:val="20"/>
          <w:szCs w:val="20"/>
          <w:lang w:eastAsia="en-IN"/>
        </w:rPr>
        <w:drawing>
          <wp:inline distT="0" distB="0" distL="0" distR="0" wp14:anchorId="4B1E77E8" wp14:editId="6AEAEA47">
            <wp:extent cx="4290060" cy="35737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3573780"/>
                    </a:xfrm>
                    <a:prstGeom prst="rect">
                      <a:avLst/>
                    </a:prstGeom>
                    <a:noFill/>
                    <a:ln>
                      <a:noFill/>
                    </a:ln>
                  </pic:spPr>
                </pic:pic>
              </a:graphicData>
            </a:graphic>
          </wp:inline>
        </w:drawing>
      </w:r>
    </w:p>
    <w:p w14:paraId="6A1C3184"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 xml:space="preserve">We can set how noisy the errors are using the </w:t>
      </w:r>
      <w:r w:rsidRPr="006A1BDE">
        <w:rPr>
          <w:rFonts w:ascii="Courier New" w:eastAsia="Times New Roman" w:hAnsi="Courier New" w:cs="Courier New"/>
          <w:sz w:val="20"/>
          <w:szCs w:val="20"/>
          <w:lang w:eastAsia="en-IN"/>
        </w:rPr>
        <w:t>sinr</w:t>
      </w:r>
      <w:r w:rsidRPr="006A1BDE">
        <w:rPr>
          <w:rFonts w:ascii="Times New Roman" w:eastAsia="Times New Roman" w:hAnsi="Times New Roman" w:cs="Times New Roman"/>
          <w:sz w:val="20"/>
          <w:szCs w:val="20"/>
          <w:lang w:eastAsia="en-IN"/>
        </w:rPr>
        <w:t xml:space="preserve"> (signal to noise ratio) argument:</w:t>
      </w:r>
    </w:p>
    <w:p w14:paraId="56A49142"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set.seed(1)</w:t>
      </w:r>
    </w:p>
    <w:p w14:paraId="026577EF"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param_dag_model &lt;-</w:t>
      </w:r>
    </w:p>
    <w:p w14:paraId="09B6AEF8"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parametric_dag_model(dag = g, f.args = list(</w:t>
      </w:r>
    </w:p>
    <w:p w14:paraId="40631AD7"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sales = list(betas = list(comp = -2), sinr = 5),</w:t>
      </w:r>
    </w:p>
    <w:p w14:paraId="35098429"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mkt = list(betas = list(comp = 0))</w:t>
      </w:r>
    </w:p>
    <w:p w14:paraId="491FF030"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w:t>
      </w:r>
    </w:p>
    <w:p w14:paraId="694E2C5D"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08DE33"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sim_data &lt;- sim_mixed_dag(param_dag_model)</w:t>
      </w:r>
    </w:p>
    <w:p w14:paraId="2A413261"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3683CA"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sim_data %&gt;% ggplot(aes(comp, sales)) + geom_point() +</w:t>
      </w:r>
    </w:p>
    <w:p w14:paraId="206A99FA"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stat_smooth(method = "lm")</w:t>
      </w:r>
    </w:p>
    <w:p w14:paraId="34A1CB23"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noProof/>
          <w:sz w:val="20"/>
          <w:szCs w:val="20"/>
          <w:lang w:eastAsia="en-IN"/>
        </w:rPr>
        <w:lastRenderedPageBreak/>
        <w:drawing>
          <wp:inline distT="0" distB="0" distL="0" distR="0" wp14:anchorId="512A8E51" wp14:editId="68A2A240">
            <wp:extent cx="4290060" cy="35737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3573780"/>
                    </a:xfrm>
                    <a:prstGeom prst="rect">
                      <a:avLst/>
                    </a:prstGeom>
                    <a:noFill/>
                    <a:ln>
                      <a:noFill/>
                    </a:ln>
                  </pic:spPr>
                </pic:pic>
              </a:graphicData>
            </a:graphic>
          </wp:inline>
        </w:drawing>
      </w:r>
    </w:p>
    <w:p w14:paraId="3DFAC3D9"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We can tweak the \(f\) functions to include a link function \(g\):</w:t>
      </w:r>
    </w:p>
    <w:p w14:paraId="58383645"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\[f_j(PA_j) = g(lp) + \epsilon_j\]</w:t>
      </w:r>
    </w:p>
    <w:p w14:paraId="7F86D81E"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 xml:space="preserve">Below I apply a “cosin” link function using the </w:t>
      </w:r>
      <w:r w:rsidRPr="006A1BDE">
        <w:rPr>
          <w:rFonts w:ascii="Courier New" w:eastAsia="Times New Roman" w:hAnsi="Courier New" w:cs="Courier New"/>
          <w:sz w:val="20"/>
          <w:szCs w:val="20"/>
          <w:lang w:eastAsia="en-IN"/>
        </w:rPr>
        <w:t>link</w:t>
      </w:r>
      <w:r w:rsidRPr="006A1BDE">
        <w:rPr>
          <w:rFonts w:ascii="Times New Roman" w:eastAsia="Times New Roman" w:hAnsi="Times New Roman" w:cs="Times New Roman"/>
          <w:sz w:val="20"/>
          <w:szCs w:val="20"/>
          <w:lang w:eastAsia="en-IN"/>
        </w:rPr>
        <w:t xml:space="preserve"> argument:</w:t>
      </w:r>
    </w:p>
    <w:p w14:paraId="731DFC0B"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set.seed(1)</w:t>
      </w:r>
    </w:p>
    <w:p w14:paraId="605B29A8"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param_dag_model &lt;-</w:t>
      </w:r>
    </w:p>
    <w:p w14:paraId="2459EF05"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parametric_dag_model(dag = g, f.args = list(</w:t>
      </w:r>
    </w:p>
    <w:p w14:paraId="29335641"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sales = list(betas = list(comp = -2), </w:t>
      </w:r>
    </w:p>
    <w:p w14:paraId="3180C15F"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link = "cosin", </w:t>
      </w:r>
    </w:p>
    <w:p w14:paraId="33873779"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sinr = 3),</w:t>
      </w:r>
    </w:p>
    <w:p w14:paraId="6567EE41"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mkt = list(betas = list(comp = 0))</w:t>
      </w:r>
    </w:p>
    <w:p w14:paraId="5F2C1086"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w:t>
      </w:r>
    </w:p>
    <w:p w14:paraId="3882C783"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2CB679"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sim_data &lt;- sim_mixed_dag(param_dag_model)</w:t>
      </w:r>
    </w:p>
    <w:p w14:paraId="2A60F72E"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F77487"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sim_data %&gt;% ggplot(aes(comp, sales)) + geom_point() +</w:t>
      </w:r>
    </w:p>
    <w:p w14:paraId="043E5090"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stat_smooth()</w:t>
      </w:r>
    </w:p>
    <w:p w14:paraId="65A55EE8"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noProof/>
          <w:sz w:val="20"/>
          <w:szCs w:val="20"/>
          <w:lang w:eastAsia="en-IN"/>
        </w:rPr>
        <w:lastRenderedPageBreak/>
        <w:drawing>
          <wp:inline distT="0" distB="0" distL="0" distR="0" wp14:anchorId="42374F83" wp14:editId="5EF21B65">
            <wp:extent cx="4290060" cy="35737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3573780"/>
                    </a:xfrm>
                    <a:prstGeom prst="rect">
                      <a:avLst/>
                    </a:prstGeom>
                    <a:noFill/>
                    <a:ln>
                      <a:noFill/>
                    </a:ln>
                  </pic:spPr>
                </pic:pic>
              </a:graphicData>
            </a:graphic>
          </wp:inline>
        </w:drawing>
      </w:r>
    </w:p>
    <w:p w14:paraId="1436C5C6"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Below are 2 more link functions implemented:</w:t>
      </w:r>
    </w:p>
    <w:p w14:paraId="144DE817"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set.seed(1)</w:t>
      </w:r>
    </w:p>
    <w:p w14:paraId="0BCD85D0"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param_dag_model &lt;-</w:t>
      </w:r>
    </w:p>
    <w:p w14:paraId="66932CAA"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parametric_dag_model(dag = g, f.args = list(</w:t>
      </w:r>
    </w:p>
    <w:p w14:paraId="37256720"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sales = list(betas = list(comp = -2), </w:t>
      </w:r>
    </w:p>
    <w:p w14:paraId="30F209A6"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link = "quadratic", </w:t>
      </w:r>
    </w:p>
    <w:p w14:paraId="5068E2AC"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sinr = 3),</w:t>
      </w:r>
    </w:p>
    <w:p w14:paraId="62CCB141"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mkt = list(betas = list(comp = 0))</w:t>
      </w:r>
    </w:p>
    <w:p w14:paraId="61B90379"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w:t>
      </w:r>
    </w:p>
    <w:p w14:paraId="11C71246"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14CEB0"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sim_data &lt;- sim_mixed_dag(param_dag_model)</w:t>
      </w:r>
    </w:p>
    <w:p w14:paraId="424A05D0"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CDC82B"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p1 &lt;- sim_data %&gt;% ggplot(aes(comp, sales)) + </w:t>
      </w:r>
    </w:p>
    <w:p w14:paraId="6D84D7A9"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geom_point() + stat_smooth() + </w:t>
      </w:r>
    </w:p>
    <w:p w14:paraId="1C525785"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ggtitle("Quadratic") +</w:t>
      </w:r>
    </w:p>
    <w:p w14:paraId="1DF45D2A"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theme(plot.title = element_text(hjust = 0.5))</w:t>
      </w:r>
    </w:p>
    <w:p w14:paraId="42A6D18D"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C1D808"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param_dag_model &lt;-</w:t>
      </w:r>
    </w:p>
    <w:p w14:paraId="6B895B28"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parametric_dag_model(dag = g, f.args = list(</w:t>
      </w:r>
    </w:p>
    <w:p w14:paraId="0F7B0CD6"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sales = list(betas = list(comp = -2), </w:t>
      </w:r>
    </w:p>
    <w:p w14:paraId="7EA83898"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link = "exp", </w:t>
      </w:r>
    </w:p>
    <w:p w14:paraId="16900AAB"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sinr = 3),</w:t>
      </w:r>
    </w:p>
    <w:p w14:paraId="2EF607E1"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mkt = list(betas = list(comp = 0))</w:t>
      </w:r>
    </w:p>
    <w:p w14:paraId="2F9920B3"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w:t>
      </w:r>
    </w:p>
    <w:p w14:paraId="20884454"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B20111"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sim_data &lt;- sim_mixed_dag(param_dag_model)</w:t>
      </w:r>
    </w:p>
    <w:p w14:paraId="15DFA5A5"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E274D2"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p2 &lt;- sim_data %&gt;% ggplot(aes(comp, sales)) + </w:t>
      </w:r>
    </w:p>
    <w:p w14:paraId="6DA879DF"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geom_point() + stat_smooth() + </w:t>
      </w:r>
    </w:p>
    <w:p w14:paraId="73585B31"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ggtitle("Exponent") +</w:t>
      </w:r>
    </w:p>
    <w:p w14:paraId="1FAF5852"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theme(plot.title = element_text(hjust = 0.5))</w:t>
      </w:r>
    </w:p>
    <w:p w14:paraId="24DBFC76"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70F6F6"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grid.arrange(p1, p2, nrow = 1)</w:t>
      </w:r>
    </w:p>
    <w:p w14:paraId="56BF08C4"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noProof/>
          <w:sz w:val="20"/>
          <w:szCs w:val="20"/>
          <w:lang w:eastAsia="en-IN"/>
        </w:rPr>
        <w:lastRenderedPageBreak/>
        <w:drawing>
          <wp:inline distT="0" distB="0" distL="0" distR="0" wp14:anchorId="0911E47C" wp14:editId="0E772704">
            <wp:extent cx="4290060" cy="35737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3573780"/>
                    </a:xfrm>
                    <a:prstGeom prst="rect">
                      <a:avLst/>
                    </a:prstGeom>
                    <a:noFill/>
                    <a:ln>
                      <a:noFill/>
                    </a:ln>
                  </pic:spPr>
                </pic:pic>
              </a:graphicData>
            </a:graphic>
          </wp:inline>
        </w:drawing>
      </w:r>
    </w:p>
    <w:p w14:paraId="79C03964"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We introduce categorical variables with \(M\) levels via the following transformation:</w:t>
      </w:r>
    </w:p>
    <w:p w14:paraId="5E66AAA3"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\[f_j(PA_j) = cat(g(lp) + \epsilon_j)\] where we have:</w:t>
      </w:r>
    </w:p>
    <w:p w14:paraId="23AD0C0E"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w:t>
      </w:r>
      <w:r w:rsidRPr="006A1BDE">
        <w:rPr>
          <w:rFonts w:ascii="Times New Roman" w:eastAsia="Times New Roman" w:hAnsi="Times New Roman" w:cs="Times New Roman"/>
          <w:sz w:val="20"/>
          <w:szCs w:val="20"/>
          <w:lang w:eastAsia="en-IN"/>
        </w:rPr>
        <w:br/>
        <w:t>cat(x) =</w:t>
      </w:r>
      <w:r w:rsidRPr="006A1BDE">
        <w:rPr>
          <w:rFonts w:ascii="Times New Roman" w:eastAsia="Times New Roman" w:hAnsi="Times New Roman" w:cs="Times New Roman"/>
          <w:sz w:val="20"/>
          <w:szCs w:val="20"/>
          <w:lang w:eastAsia="en-IN"/>
        </w:rPr>
        <w:br/>
        <w:t>\begin{cases}</w:t>
      </w:r>
      <w:r w:rsidRPr="006A1BDE">
        <w:rPr>
          <w:rFonts w:ascii="Times New Roman" w:eastAsia="Times New Roman" w:hAnsi="Times New Roman" w:cs="Times New Roman"/>
          <w:sz w:val="20"/>
          <w:szCs w:val="20"/>
          <w:lang w:eastAsia="en-IN"/>
        </w:rPr>
        <w:br/>
        <w:t>\text{level 1,} &amp;\quad\text{if} \, x \leq \Phi^{-1}(100/M) \\</w:t>
      </w:r>
      <w:r w:rsidRPr="006A1BDE">
        <w:rPr>
          <w:rFonts w:ascii="Times New Roman" w:eastAsia="Times New Roman" w:hAnsi="Times New Roman" w:cs="Times New Roman"/>
          <w:sz w:val="20"/>
          <w:szCs w:val="20"/>
          <w:lang w:eastAsia="en-IN"/>
        </w:rPr>
        <w:br/>
        <w:t>\text{level 2,} &amp;\quad\text{if} \, x &gt; \Phi^{-1}(100/M) \, , x/sd(x) \leq \Phi^{-1}(100\cdot 2/M)\\</w:t>
      </w:r>
      <w:r w:rsidRPr="006A1BDE">
        <w:rPr>
          <w:rFonts w:ascii="Times New Roman" w:eastAsia="Times New Roman" w:hAnsi="Times New Roman" w:cs="Times New Roman"/>
          <w:sz w:val="20"/>
          <w:szCs w:val="20"/>
          <w:lang w:eastAsia="en-IN"/>
        </w:rPr>
        <w:br/>
        <w:t>\dots &amp; \dots \\</w:t>
      </w:r>
      <w:r w:rsidRPr="006A1BDE">
        <w:rPr>
          <w:rFonts w:ascii="Times New Roman" w:eastAsia="Times New Roman" w:hAnsi="Times New Roman" w:cs="Times New Roman"/>
          <w:sz w:val="20"/>
          <w:szCs w:val="20"/>
          <w:lang w:eastAsia="en-IN"/>
        </w:rPr>
        <w:br/>
        <w:t>\text{level M,} &amp;\quad\text{if} \, x &gt; \Phi^{-1}(100\cdot(M-1)/M) \\</w:t>
      </w:r>
      <w:r w:rsidRPr="006A1BDE">
        <w:rPr>
          <w:rFonts w:ascii="Times New Roman" w:eastAsia="Times New Roman" w:hAnsi="Times New Roman" w:cs="Times New Roman"/>
          <w:sz w:val="20"/>
          <w:szCs w:val="20"/>
          <w:lang w:eastAsia="en-IN"/>
        </w:rPr>
        <w:br/>
        <w:t>\end{cases}</w:t>
      </w:r>
      <w:r w:rsidRPr="006A1BDE">
        <w:rPr>
          <w:rFonts w:ascii="Times New Roman" w:eastAsia="Times New Roman" w:hAnsi="Times New Roman" w:cs="Times New Roman"/>
          <w:sz w:val="20"/>
          <w:szCs w:val="20"/>
          <w:lang w:eastAsia="en-IN"/>
        </w:rPr>
        <w:br/>
        <w:t>\]</w:t>
      </w:r>
    </w:p>
    <w:p w14:paraId="40B42A96"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 xml:space="preserve">We set the number of levels using the </w:t>
      </w:r>
      <w:r w:rsidRPr="006A1BDE">
        <w:rPr>
          <w:rFonts w:ascii="Courier New" w:eastAsia="Times New Roman" w:hAnsi="Courier New" w:cs="Courier New"/>
          <w:sz w:val="20"/>
          <w:szCs w:val="20"/>
          <w:lang w:eastAsia="en-IN"/>
        </w:rPr>
        <w:t>levels</w:t>
      </w:r>
      <w:r w:rsidRPr="006A1BDE">
        <w:rPr>
          <w:rFonts w:ascii="Times New Roman" w:eastAsia="Times New Roman" w:hAnsi="Times New Roman" w:cs="Times New Roman"/>
          <w:sz w:val="20"/>
          <w:szCs w:val="20"/>
          <w:lang w:eastAsia="en-IN"/>
        </w:rPr>
        <w:t xml:space="preserve"> argument (where levels = 1 means continuous variable):</w:t>
      </w:r>
    </w:p>
    <w:p w14:paraId="5AD28A7E"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param_dag_model &lt;-</w:t>
      </w:r>
    </w:p>
    <w:p w14:paraId="5A17E0FC"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parametric_dag_model(dag = g, </w:t>
      </w:r>
    </w:p>
    <w:p w14:paraId="611EFBE3"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f.args = list(sales = list(</w:t>
      </w:r>
    </w:p>
    <w:p w14:paraId="7CB21338"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betas = list(comp = -2),</w:t>
      </w:r>
    </w:p>
    <w:p w14:paraId="569850CA"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link = "quadratic", sinr = 3, levels = 3,</w:t>
      </w:r>
    </w:p>
    <w:p w14:paraId="2C60428E"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labels = c("low", "medium", "high")</w:t>
      </w:r>
    </w:p>
    <w:p w14:paraId="03E60E04"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 mkt = list(betas = list(comp = 0))))</w:t>
      </w:r>
    </w:p>
    <w:p w14:paraId="2BB46D6C"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D68407"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sim_data &lt;- sim_mixed_dag(param_dag_model)</w:t>
      </w:r>
    </w:p>
    <w:p w14:paraId="1793D870"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E2F6A3"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sim_data %&gt;% ggplot(aes(sales, comp)) + geom_boxplot() +</w:t>
      </w:r>
    </w:p>
    <w:p w14:paraId="271C9CAA"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stat_smooth()</w:t>
      </w:r>
    </w:p>
    <w:p w14:paraId="0FB2EA3F"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noProof/>
          <w:sz w:val="20"/>
          <w:szCs w:val="20"/>
          <w:lang w:eastAsia="en-IN"/>
        </w:rPr>
        <w:lastRenderedPageBreak/>
        <w:drawing>
          <wp:inline distT="0" distB="0" distL="0" distR="0" wp14:anchorId="0C208040" wp14:editId="55E4C8C7">
            <wp:extent cx="4290060" cy="35737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3573780"/>
                    </a:xfrm>
                    <a:prstGeom prst="rect">
                      <a:avLst/>
                    </a:prstGeom>
                    <a:noFill/>
                    <a:ln>
                      <a:noFill/>
                    </a:ln>
                  </pic:spPr>
                </pic:pic>
              </a:graphicData>
            </a:graphic>
          </wp:inline>
        </w:drawing>
      </w:r>
    </w:p>
    <w:p w14:paraId="5DD1271C"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 xml:space="preserve">It’s important to note that any non-specified arguments in </w:t>
      </w:r>
      <w:r w:rsidRPr="006A1BDE">
        <w:rPr>
          <w:rFonts w:ascii="Courier New" w:eastAsia="Times New Roman" w:hAnsi="Courier New" w:cs="Courier New"/>
          <w:sz w:val="20"/>
          <w:szCs w:val="20"/>
          <w:lang w:eastAsia="en-IN"/>
        </w:rPr>
        <w:t>f.args</w:t>
      </w:r>
      <w:r w:rsidRPr="006A1BDE">
        <w:rPr>
          <w:rFonts w:ascii="Times New Roman" w:eastAsia="Times New Roman" w:hAnsi="Times New Roman" w:cs="Times New Roman"/>
          <w:sz w:val="20"/>
          <w:szCs w:val="20"/>
          <w:lang w:eastAsia="en-IN"/>
        </w:rPr>
        <w:t xml:space="preserve"> are filled in from default values.</w:t>
      </w:r>
    </w:p>
    <w:p w14:paraId="3BD64E2A" w14:textId="77777777" w:rsidR="006A1BDE" w:rsidRPr="006A1BDE" w:rsidRDefault="006A1BDE" w:rsidP="006A1BD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A1BDE">
        <w:rPr>
          <w:rFonts w:ascii="Times New Roman" w:eastAsia="Times New Roman" w:hAnsi="Times New Roman" w:cs="Times New Roman"/>
          <w:b/>
          <w:bCs/>
          <w:kern w:val="36"/>
          <w:sz w:val="48"/>
          <w:szCs w:val="48"/>
          <w:lang w:eastAsia="en-IN"/>
        </w:rPr>
        <w:t>Calculating ATE given a DAG model</w:t>
      </w:r>
    </w:p>
    <w:p w14:paraId="278177CD"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The “simMixedDAG” package can be used for bench-marking algorithms on the task of \(ATE\) estimation.</w:t>
      </w:r>
    </w:p>
    <w:p w14:paraId="2CDDC572"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For simple DAG models the analytic calculation of the \(ATE\) is pretty simple (e.g. continuous Gaussian distributed, no interactions etc). When simulating from more complex models (e.g. parametric with link functions, non parametric models) deriving the ATE analytically might become more challenging.</w:t>
      </w:r>
    </w:p>
    <w:p w14:paraId="52EC7550"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 xml:space="preserve">One way to obtain the true \(ATE\) given a DAG model is to use simulation analysis. Consider for instance the problem setup discussed on my </w:t>
      </w:r>
      <w:hyperlink r:id="rId22" w:tgtFrame="_blank" w:history="1">
        <w:r w:rsidRPr="006A1BDE">
          <w:rPr>
            <w:rFonts w:ascii="Times New Roman" w:eastAsia="Times New Roman" w:hAnsi="Times New Roman" w:cs="Times New Roman"/>
            <w:color w:val="0000FF"/>
            <w:sz w:val="20"/>
            <w:szCs w:val="20"/>
            <w:u w:val="single"/>
            <w:lang w:eastAsia="en-IN"/>
          </w:rPr>
          <w:t>first post</w:t>
        </w:r>
      </w:hyperlink>
      <w:r w:rsidRPr="006A1BDE">
        <w:rPr>
          <w:rFonts w:ascii="Times New Roman" w:eastAsia="Times New Roman" w:hAnsi="Times New Roman" w:cs="Times New Roman"/>
          <w:sz w:val="20"/>
          <w:szCs w:val="20"/>
          <w:lang w:eastAsia="en-IN"/>
        </w:rPr>
        <w:t xml:space="preserve"> where we calculated analytically that the \(ATE\) of mkt on sales was 0.15.</w:t>
      </w:r>
    </w:p>
    <w:p w14:paraId="545D622A"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We know that the relation of \(mkt\) to \(sales\) is confounded by the \(comp\) variable. When setting \(mkt\) to some value (AKA \(do(mkt)\)) we remove the arrow that points from \(comp\) to \(mkt\) (like in the DAG below):</w:t>
      </w:r>
    </w:p>
    <w:p w14:paraId="1D8BD8E0"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noProof/>
          <w:sz w:val="20"/>
          <w:szCs w:val="20"/>
          <w:lang w:eastAsia="en-IN"/>
        </w:rPr>
        <w:lastRenderedPageBreak/>
        <w:drawing>
          <wp:inline distT="0" distB="0" distL="0" distR="0" wp14:anchorId="44F7569B" wp14:editId="5FC249C1">
            <wp:extent cx="4290060" cy="35737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0060" cy="3573780"/>
                    </a:xfrm>
                    <a:prstGeom prst="rect">
                      <a:avLst/>
                    </a:prstGeom>
                    <a:noFill/>
                    <a:ln>
                      <a:noFill/>
                    </a:ln>
                  </pic:spPr>
                </pic:pic>
              </a:graphicData>
            </a:graphic>
          </wp:inline>
        </w:drawing>
      </w:r>
    </w:p>
    <w:p w14:paraId="190BC745"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The above operation of removing all arrows pointing into the treatment variable is also called “graph surgery” (See Pearl’s “Causal Inference in Statistics – A Primer” chapter 3).</w:t>
      </w:r>
    </w:p>
    <w:p w14:paraId="73E856E3"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When observing the by-variate relation in the non-confounded dataset simulated from the DAG above we can see the true effect of \(mkt\) on \(sales\):</w:t>
      </w:r>
    </w:p>
    <w:p w14:paraId="335A44D7"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param_dag_model &lt;-</w:t>
      </w:r>
    </w:p>
    <w:p w14:paraId="290FC80B"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parametric_dag_model(dag = g_unconfounded, </w:t>
      </w:r>
    </w:p>
    <w:p w14:paraId="5D7A22F7"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f.args = list(</w:t>
      </w:r>
    </w:p>
    <w:p w14:paraId="319C36D2"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sales = list(betas = list(visits = 0.3, </w:t>
      </w:r>
    </w:p>
    <w:p w14:paraId="50EFEF01"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comp = -0.9)),</w:t>
      </w:r>
    </w:p>
    <w:p w14:paraId="1FB0D59A"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visits = list(betas = list(mkt = 0.5))</w:t>
      </w:r>
    </w:p>
    <w:p w14:paraId="5DFF3F6C"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 # note here we set the comp to mkt </w:t>
      </w:r>
    </w:p>
    <w:p w14:paraId="24310135"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 coefficient to 0</w:t>
      </w:r>
    </w:p>
    <w:p w14:paraId="0708021C"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sim_data &lt;- sim_mixed_dag(param_dag_model)</w:t>
      </w:r>
    </w:p>
    <w:p w14:paraId="594593F5"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sim_data %&gt;% ggplot(aes(mkt, sales)) + geom_point() +</w:t>
      </w:r>
    </w:p>
    <w:p w14:paraId="5D4A0926"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stat_smooth(method = "lm")</w:t>
      </w:r>
    </w:p>
    <w:p w14:paraId="7C4DED43"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noProof/>
          <w:sz w:val="20"/>
          <w:szCs w:val="20"/>
          <w:lang w:eastAsia="en-IN"/>
        </w:rPr>
        <w:lastRenderedPageBreak/>
        <w:drawing>
          <wp:inline distT="0" distB="0" distL="0" distR="0" wp14:anchorId="3B945BF6" wp14:editId="4598C6F5">
            <wp:extent cx="4290060" cy="35737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0060" cy="3573780"/>
                    </a:xfrm>
                    <a:prstGeom prst="rect">
                      <a:avLst/>
                    </a:prstGeom>
                    <a:noFill/>
                    <a:ln>
                      <a:noFill/>
                    </a:ln>
                  </pic:spPr>
                </pic:pic>
              </a:graphicData>
            </a:graphic>
          </wp:inline>
        </w:drawing>
      </w:r>
    </w:p>
    <w:p w14:paraId="54942A36"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 xml:space="preserve">The </w:t>
      </w:r>
      <w:r w:rsidRPr="006A1BDE">
        <w:rPr>
          <w:rFonts w:ascii="Courier New" w:eastAsia="Times New Roman" w:hAnsi="Courier New" w:cs="Courier New"/>
          <w:sz w:val="20"/>
          <w:szCs w:val="20"/>
          <w:lang w:eastAsia="en-IN"/>
        </w:rPr>
        <w:t>get_ate</w:t>
      </w:r>
      <w:r w:rsidRPr="006A1BDE">
        <w:rPr>
          <w:rFonts w:ascii="Times New Roman" w:eastAsia="Times New Roman" w:hAnsi="Times New Roman" w:cs="Times New Roman"/>
          <w:sz w:val="20"/>
          <w:szCs w:val="20"/>
          <w:lang w:eastAsia="en-IN"/>
        </w:rPr>
        <w:t xml:space="preserve"> function implements the same logic under the hood to calculate the \(ATE\) for any </w:t>
      </w:r>
      <w:r w:rsidRPr="006A1BDE">
        <w:rPr>
          <w:rFonts w:ascii="Courier New" w:eastAsia="Times New Roman" w:hAnsi="Courier New" w:cs="Courier New"/>
          <w:sz w:val="20"/>
          <w:szCs w:val="20"/>
          <w:lang w:eastAsia="en-IN"/>
        </w:rPr>
        <w:t>dag_model</w:t>
      </w:r>
      <w:r w:rsidRPr="006A1BDE">
        <w:rPr>
          <w:rFonts w:ascii="Times New Roman" w:eastAsia="Times New Roman" w:hAnsi="Times New Roman" w:cs="Times New Roman"/>
          <w:sz w:val="20"/>
          <w:szCs w:val="20"/>
          <w:lang w:eastAsia="en-IN"/>
        </w:rPr>
        <w:t>. Below we demonstrate using the following code:</w:t>
      </w:r>
    </w:p>
    <w:p w14:paraId="532431A8"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param_dag_model &lt;-</w:t>
      </w:r>
    </w:p>
    <w:p w14:paraId="2E91E448"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parametric_dag_model(dag = g, f.args = list(</w:t>
      </w:r>
    </w:p>
    <w:p w14:paraId="2DEF675D"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sales = list(betas = list(visits = 0.3, </w:t>
      </w:r>
    </w:p>
    <w:p w14:paraId="545D2005"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comp = -0.9)),</w:t>
      </w:r>
    </w:p>
    <w:p w14:paraId="13A2335D"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visits = list(betas = list(mkt = 0.5)),</w:t>
      </w:r>
    </w:p>
    <w:p w14:paraId="50993E91"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mkt = list(betas = list(comp = 0.6))</w:t>
      </w:r>
    </w:p>
    <w:p w14:paraId="22021AF7"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 # note the comp to mkt coefficient is as</w:t>
      </w:r>
    </w:p>
    <w:p w14:paraId="45D14AD9"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 in the original probelm setup</w:t>
      </w:r>
    </w:p>
    <w:p w14:paraId="09314DDD"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84C165"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mkt_ATE_on_sales &lt;- get_ate(param_dag_model,</w:t>
      </w:r>
    </w:p>
    <w:p w14:paraId="56FC1CAD"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treatment = "mkt",</w:t>
      </w:r>
    </w:p>
    <w:p w14:paraId="20E502A6"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treatment_vals = -2:2, exposure = "sales"</w:t>
      </w:r>
    </w:p>
    <w:p w14:paraId="0CA36011"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w:t>
      </w:r>
    </w:p>
    <w:p w14:paraId="72A923C5"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pandoc.table(mkt_ATE_on_sales, </w:t>
      </w:r>
    </w:p>
    <w:p w14:paraId="5DCE343A"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caption = "mkt ATE on sales")</w:t>
      </w:r>
    </w:p>
    <w:tbl>
      <w:tblPr>
        <w:tblW w:w="1400" w:type="pct"/>
        <w:tblCellSpacing w:w="15" w:type="dxa"/>
        <w:tblCellMar>
          <w:top w:w="15" w:type="dxa"/>
          <w:left w:w="15" w:type="dxa"/>
          <w:bottom w:w="15" w:type="dxa"/>
          <w:right w:w="15" w:type="dxa"/>
        </w:tblCellMar>
        <w:tblLook w:val="04A0" w:firstRow="1" w:lastRow="0" w:firstColumn="1" w:lastColumn="0" w:noHBand="0" w:noVBand="1"/>
      </w:tblPr>
      <w:tblGrid>
        <w:gridCol w:w="932"/>
        <w:gridCol w:w="410"/>
        <w:gridCol w:w="1185"/>
      </w:tblGrid>
      <w:tr w:rsidR="006A1BDE" w:rsidRPr="006A1BDE" w14:paraId="54426CE2" w14:textId="77777777" w:rsidTr="006A1BDE">
        <w:trPr>
          <w:tblHeader/>
          <w:tblCellSpacing w:w="15" w:type="dxa"/>
        </w:trPr>
        <w:tc>
          <w:tcPr>
            <w:tcW w:w="0" w:type="auto"/>
            <w:gridSpan w:val="3"/>
            <w:tcBorders>
              <w:top w:val="nil"/>
              <w:left w:val="nil"/>
              <w:bottom w:val="nil"/>
              <w:right w:val="nil"/>
            </w:tcBorders>
            <w:vAlign w:val="center"/>
            <w:hideMark/>
          </w:tcPr>
          <w:p w14:paraId="4AB6720E"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mkt ATE on sales</w:t>
            </w:r>
          </w:p>
        </w:tc>
      </w:tr>
      <w:tr w:rsidR="006A1BDE" w:rsidRPr="006A1BDE" w14:paraId="6DD8B8C8" w14:textId="77777777" w:rsidTr="006A1BDE">
        <w:trPr>
          <w:tblHeader/>
          <w:tblCellSpacing w:w="15" w:type="dxa"/>
        </w:trPr>
        <w:tc>
          <w:tcPr>
            <w:tcW w:w="0" w:type="auto"/>
            <w:vAlign w:val="center"/>
            <w:hideMark/>
          </w:tcPr>
          <w:p w14:paraId="1358063A" w14:textId="77777777" w:rsidR="006A1BDE" w:rsidRPr="006A1BDE" w:rsidRDefault="006A1BDE" w:rsidP="006A1BDE">
            <w:pPr>
              <w:spacing w:after="0" w:line="240" w:lineRule="auto"/>
              <w:jc w:val="center"/>
              <w:rPr>
                <w:rFonts w:ascii="Times New Roman" w:eastAsia="Times New Roman" w:hAnsi="Times New Roman" w:cs="Times New Roman"/>
                <w:b/>
                <w:bCs/>
                <w:sz w:val="24"/>
                <w:szCs w:val="24"/>
                <w:lang w:eastAsia="en-IN"/>
              </w:rPr>
            </w:pPr>
            <w:r w:rsidRPr="006A1BDE">
              <w:rPr>
                <w:rFonts w:ascii="Times New Roman" w:eastAsia="Times New Roman" w:hAnsi="Times New Roman" w:cs="Times New Roman"/>
                <w:b/>
                <w:bCs/>
                <w:sz w:val="24"/>
                <w:szCs w:val="24"/>
                <w:lang w:eastAsia="en-IN"/>
              </w:rPr>
              <w:t>from</w:t>
            </w:r>
          </w:p>
        </w:tc>
        <w:tc>
          <w:tcPr>
            <w:tcW w:w="0" w:type="auto"/>
            <w:vAlign w:val="center"/>
            <w:hideMark/>
          </w:tcPr>
          <w:p w14:paraId="32F396AB" w14:textId="77777777" w:rsidR="006A1BDE" w:rsidRPr="006A1BDE" w:rsidRDefault="006A1BDE" w:rsidP="006A1BDE">
            <w:pPr>
              <w:spacing w:after="0" w:line="240" w:lineRule="auto"/>
              <w:jc w:val="center"/>
              <w:rPr>
                <w:rFonts w:ascii="Times New Roman" w:eastAsia="Times New Roman" w:hAnsi="Times New Roman" w:cs="Times New Roman"/>
                <w:b/>
                <w:bCs/>
                <w:sz w:val="24"/>
                <w:szCs w:val="24"/>
                <w:lang w:eastAsia="en-IN"/>
              </w:rPr>
            </w:pPr>
            <w:r w:rsidRPr="006A1BDE">
              <w:rPr>
                <w:rFonts w:ascii="Times New Roman" w:eastAsia="Times New Roman" w:hAnsi="Times New Roman" w:cs="Times New Roman"/>
                <w:b/>
                <w:bCs/>
                <w:sz w:val="24"/>
                <w:szCs w:val="24"/>
                <w:lang w:eastAsia="en-IN"/>
              </w:rPr>
              <w:t>to</w:t>
            </w:r>
          </w:p>
        </w:tc>
        <w:tc>
          <w:tcPr>
            <w:tcW w:w="0" w:type="auto"/>
            <w:vAlign w:val="center"/>
            <w:hideMark/>
          </w:tcPr>
          <w:p w14:paraId="45E7EF6B" w14:textId="77777777" w:rsidR="006A1BDE" w:rsidRPr="006A1BDE" w:rsidRDefault="006A1BDE" w:rsidP="006A1BDE">
            <w:pPr>
              <w:spacing w:after="0" w:line="240" w:lineRule="auto"/>
              <w:jc w:val="center"/>
              <w:rPr>
                <w:rFonts w:ascii="Times New Roman" w:eastAsia="Times New Roman" w:hAnsi="Times New Roman" w:cs="Times New Roman"/>
                <w:b/>
                <w:bCs/>
                <w:sz w:val="24"/>
                <w:szCs w:val="24"/>
                <w:lang w:eastAsia="en-IN"/>
              </w:rPr>
            </w:pPr>
            <w:r w:rsidRPr="006A1BDE">
              <w:rPr>
                <w:rFonts w:ascii="Times New Roman" w:eastAsia="Times New Roman" w:hAnsi="Times New Roman" w:cs="Times New Roman"/>
                <w:b/>
                <w:bCs/>
                <w:sz w:val="24"/>
                <w:szCs w:val="24"/>
                <w:lang w:eastAsia="en-IN"/>
              </w:rPr>
              <w:t>ATE</w:t>
            </w:r>
          </w:p>
        </w:tc>
      </w:tr>
      <w:tr w:rsidR="006A1BDE" w:rsidRPr="006A1BDE" w14:paraId="1F25CA4E" w14:textId="77777777" w:rsidTr="006A1BDE">
        <w:trPr>
          <w:tblCellSpacing w:w="15" w:type="dxa"/>
        </w:trPr>
        <w:tc>
          <w:tcPr>
            <w:tcW w:w="0" w:type="auto"/>
            <w:vAlign w:val="center"/>
            <w:hideMark/>
          </w:tcPr>
          <w:p w14:paraId="2E35B37D"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-2</w:t>
            </w:r>
          </w:p>
        </w:tc>
        <w:tc>
          <w:tcPr>
            <w:tcW w:w="0" w:type="auto"/>
            <w:vAlign w:val="center"/>
            <w:hideMark/>
          </w:tcPr>
          <w:p w14:paraId="5D338C5D"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-1</w:t>
            </w:r>
          </w:p>
        </w:tc>
        <w:tc>
          <w:tcPr>
            <w:tcW w:w="0" w:type="auto"/>
            <w:vAlign w:val="center"/>
            <w:hideMark/>
          </w:tcPr>
          <w:p w14:paraId="1D9CB057"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0.1514</w:t>
            </w:r>
          </w:p>
        </w:tc>
      </w:tr>
      <w:tr w:rsidR="006A1BDE" w:rsidRPr="006A1BDE" w14:paraId="74E229BF" w14:textId="77777777" w:rsidTr="006A1BDE">
        <w:trPr>
          <w:tblCellSpacing w:w="15" w:type="dxa"/>
        </w:trPr>
        <w:tc>
          <w:tcPr>
            <w:tcW w:w="0" w:type="auto"/>
            <w:vAlign w:val="center"/>
            <w:hideMark/>
          </w:tcPr>
          <w:p w14:paraId="07CEDDDE"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-1</w:t>
            </w:r>
          </w:p>
        </w:tc>
        <w:tc>
          <w:tcPr>
            <w:tcW w:w="0" w:type="auto"/>
            <w:vAlign w:val="center"/>
            <w:hideMark/>
          </w:tcPr>
          <w:p w14:paraId="262244B9"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0</w:t>
            </w:r>
          </w:p>
        </w:tc>
        <w:tc>
          <w:tcPr>
            <w:tcW w:w="0" w:type="auto"/>
            <w:vAlign w:val="center"/>
            <w:hideMark/>
          </w:tcPr>
          <w:p w14:paraId="0BB33418"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0.1482</w:t>
            </w:r>
          </w:p>
        </w:tc>
      </w:tr>
      <w:tr w:rsidR="006A1BDE" w:rsidRPr="006A1BDE" w14:paraId="23996BF0" w14:textId="77777777" w:rsidTr="006A1BDE">
        <w:trPr>
          <w:tblCellSpacing w:w="15" w:type="dxa"/>
        </w:trPr>
        <w:tc>
          <w:tcPr>
            <w:tcW w:w="0" w:type="auto"/>
            <w:vAlign w:val="center"/>
            <w:hideMark/>
          </w:tcPr>
          <w:p w14:paraId="23688AF6"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0</w:t>
            </w:r>
          </w:p>
        </w:tc>
        <w:tc>
          <w:tcPr>
            <w:tcW w:w="0" w:type="auto"/>
            <w:vAlign w:val="center"/>
            <w:hideMark/>
          </w:tcPr>
          <w:p w14:paraId="7CA7BB88"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1</w:t>
            </w:r>
          </w:p>
        </w:tc>
        <w:tc>
          <w:tcPr>
            <w:tcW w:w="0" w:type="auto"/>
            <w:vAlign w:val="center"/>
            <w:hideMark/>
          </w:tcPr>
          <w:p w14:paraId="49D24B23"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0.1502</w:t>
            </w:r>
          </w:p>
        </w:tc>
      </w:tr>
      <w:tr w:rsidR="006A1BDE" w:rsidRPr="006A1BDE" w14:paraId="7663BFFE" w14:textId="77777777" w:rsidTr="006A1BDE">
        <w:trPr>
          <w:tblCellSpacing w:w="15" w:type="dxa"/>
        </w:trPr>
        <w:tc>
          <w:tcPr>
            <w:tcW w:w="0" w:type="auto"/>
            <w:vAlign w:val="center"/>
            <w:hideMark/>
          </w:tcPr>
          <w:p w14:paraId="4FCE9115"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1</w:t>
            </w:r>
          </w:p>
        </w:tc>
        <w:tc>
          <w:tcPr>
            <w:tcW w:w="0" w:type="auto"/>
            <w:vAlign w:val="center"/>
            <w:hideMark/>
          </w:tcPr>
          <w:p w14:paraId="42A0A3A0"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2</w:t>
            </w:r>
          </w:p>
        </w:tc>
        <w:tc>
          <w:tcPr>
            <w:tcW w:w="0" w:type="auto"/>
            <w:vAlign w:val="center"/>
            <w:hideMark/>
          </w:tcPr>
          <w:p w14:paraId="27B21887"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0.1512</w:t>
            </w:r>
          </w:p>
        </w:tc>
      </w:tr>
    </w:tbl>
    <w:p w14:paraId="6BC96204"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We can verify that indeed we got the outcome derived analytically.</w:t>
      </w:r>
    </w:p>
    <w:p w14:paraId="27C21F47"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Now let’s take a more complicated model defined by the following equations:</w:t>
      </w:r>
    </w:p>
    <w:p w14:paraId="5D36A8F4"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\[sales = quadratic\left(1.5 \cdot visits -4 \cdot comp\right) + \epsilon_{sales}\]</w:t>
      </w:r>
    </w:p>
    <w:p w14:paraId="14FC8165"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lastRenderedPageBreak/>
        <w:t>\[visits = 0.5I(mkt = "medium") + 1.2I(mkt = "high") + \epsilon_{visits}\]</w:t>
      </w:r>
    </w:p>
    <w:p w14:paraId="35FCB09F"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\[mkt = cat(exp(2 \cdot comp) + \epsilon_{mkt})\] with \(mkt\) taking the levels “low”, “medium” and “high”.</w:t>
      </w:r>
    </w:p>
    <w:p w14:paraId="3A108EB1"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Below is the code to define the model defined by the equations above and get the corresponding ate of mkt on sales.</w:t>
      </w:r>
    </w:p>
    <w:p w14:paraId="283EE85B"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param_dag_model &lt;- parametric_dag_model(dag = g, </w:t>
      </w:r>
    </w:p>
    <w:p w14:paraId="1064AC8D"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f.args = list(</w:t>
      </w:r>
    </w:p>
    <w:p w14:paraId="013C4743"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sales = list(betas = list(visits = 1.5, comp = -4), </w:t>
      </w:r>
    </w:p>
    <w:p w14:paraId="00868500"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link = "quadratic"),</w:t>
      </w:r>
    </w:p>
    <w:p w14:paraId="43A8F232"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visits = list(betas = list(mkt = c(0.5, 1.2)), </w:t>
      </w:r>
    </w:p>
    <w:p w14:paraId="4360390C"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levels = 1),</w:t>
      </w:r>
    </w:p>
    <w:p w14:paraId="5D795A86"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mkt = list(</w:t>
      </w:r>
    </w:p>
    <w:p w14:paraId="1392A65E"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betas = list(comp = 2), levels = 3, </w:t>
      </w:r>
    </w:p>
    <w:p w14:paraId="7C0515E6"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labels = c("low", "medium", "high"),</w:t>
      </w:r>
    </w:p>
    <w:p w14:paraId="6A2609C5"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link = "exp", sinr = 8</w:t>
      </w:r>
    </w:p>
    <w:p w14:paraId="5051B616"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w:t>
      </w:r>
    </w:p>
    <w:p w14:paraId="69C35CEE"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w:t>
      </w:r>
    </w:p>
    <w:p w14:paraId="06D108BB"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48A17D"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treat_vals &lt;- factor(c("low", "medium", "high"), </w:t>
      </w:r>
    </w:p>
    <w:p w14:paraId="2967EAB0"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levels = c("low", "medium", "high"))</w:t>
      </w:r>
    </w:p>
    <w:p w14:paraId="12A33736"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mkt_ate_on_sales &lt;- </w:t>
      </w:r>
    </w:p>
    <w:p w14:paraId="1A89BADB"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get_ate(param_dag_model, treatment = "mkt", </w:t>
      </w:r>
    </w:p>
    <w:p w14:paraId="30D22BCA"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treatment_vals = treat_vals, </w:t>
      </w:r>
    </w:p>
    <w:p w14:paraId="09E6C21F"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exposure = "sales")</w:t>
      </w:r>
    </w:p>
    <w:p w14:paraId="74B1DBA7"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w:t>
      </w:r>
    </w:p>
    <w:p w14:paraId="66447EF1"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pandoc.table(mkt_ate_on_sales, </w:t>
      </w:r>
    </w:p>
    <w:p w14:paraId="6CC6C554"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caption = "mkt ATE on sales")</w:t>
      </w:r>
    </w:p>
    <w:tbl>
      <w:tblPr>
        <w:tblW w:w="1900" w:type="pct"/>
        <w:tblCellSpacing w:w="15" w:type="dxa"/>
        <w:tblCellMar>
          <w:top w:w="15" w:type="dxa"/>
          <w:left w:w="15" w:type="dxa"/>
          <w:bottom w:w="15" w:type="dxa"/>
          <w:right w:w="15" w:type="dxa"/>
        </w:tblCellMar>
        <w:tblLook w:val="04A0" w:firstRow="1" w:lastRow="0" w:firstColumn="1" w:lastColumn="0" w:noHBand="0" w:noVBand="1"/>
      </w:tblPr>
      <w:tblGrid>
        <w:gridCol w:w="1272"/>
        <w:gridCol w:w="1257"/>
        <w:gridCol w:w="901"/>
      </w:tblGrid>
      <w:tr w:rsidR="006A1BDE" w:rsidRPr="006A1BDE" w14:paraId="6275ECCC" w14:textId="77777777" w:rsidTr="006A1BDE">
        <w:trPr>
          <w:tblHeader/>
          <w:tblCellSpacing w:w="15" w:type="dxa"/>
        </w:trPr>
        <w:tc>
          <w:tcPr>
            <w:tcW w:w="0" w:type="auto"/>
            <w:gridSpan w:val="3"/>
            <w:tcBorders>
              <w:top w:val="nil"/>
              <w:left w:val="nil"/>
              <w:bottom w:val="nil"/>
              <w:right w:val="nil"/>
            </w:tcBorders>
            <w:vAlign w:val="center"/>
            <w:hideMark/>
          </w:tcPr>
          <w:p w14:paraId="208D294B"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mkt ATE on sales</w:t>
            </w:r>
          </w:p>
        </w:tc>
      </w:tr>
      <w:tr w:rsidR="006A1BDE" w:rsidRPr="006A1BDE" w14:paraId="50A85762" w14:textId="77777777" w:rsidTr="006A1BDE">
        <w:trPr>
          <w:tblHeader/>
          <w:tblCellSpacing w:w="15" w:type="dxa"/>
        </w:trPr>
        <w:tc>
          <w:tcPr>
            <w:tcW w:w="0" w:type="auto"/>
            <w:vAlign w:val="center"/>
            <w:hideMark/>
          </w:tcPr>
          <w:p w14:paraId="610A440B" w14:textId="77777777" w:rsidR="006A1BDE" w:rsidRPr="006A1BDE" w:rsidRDefault="006A1BDE" w:rsidP="006A1BDE">
            <w:pPr>
              <w:spacing w:after="0" w:line="240" w:lineRule="auto"/>
              <w:jc w:val="center"/>
              <w:rPr>
                <w:rFonts w:ascii="Times New Roman" w:eastAsia="Times New Roman" w:hAnsi="Times New Roman" w:cs="Times New Roman"/>
                <w:b/>
                <w:bCs/>
                <w:sz w:val="24"/>
                <w:szCs w:val="24"/>
                <w:lang w:eastAsia="en-IN"/>
              </w:rPr>
            </w:pPr>
            <w:r w:rsidRPr="006A1BDE">
              <w:rPr>
                <w:rFonts w:ascii="Times New Roman" w:eastAsia="Times New Roman" w:hAnsi="Times New Roman" w:cs="Times New Roman"/>
                <w:b/>
                <w:bCs/>
                <w:sz w:val="24"/>
                <w:szCs w:val="24"/>
                <w:lang w:eastAsia="en-IN"/>
              </w:rPr>
              <w:t>from</w:t>
            </w:r>
          </w:p>
        </w:tc>
        <w:tc>
          <w:tcPr>
            <w:tcW w:w="0" w:type="auto"/>
            <w:vAlign w:val="center"/>
            <w:hideMark/>
          </w:tcPr>
          <w:p w14:paraId="61E15673" w14:textId="77777777" w:rsidR="006A1BDE" w:rsidRPr="006A1BDE" w:rsidRDefault="006A1BDE" w:rsidP="006A1BDE">
            <w:pPr>
              <w:spacing w:after="0" w:line="240" w:lineRule="auto"/>
              <w:jc w:val="center"/>
              <w:rPr>
                <w:rFonts w:ascii="Times New Roman" w:eastAsia="Times New Roman" w:hAnsi="Times New Roman" w:cs="Times New Roman"/>
                <w:b/>
                <w:bCs/>
                <w:sz w:val="24"/>
                <w:szCs w:val="24"/>
                <w:lang w:eastAsia="en-IN"/>
              </w:rPr>
            </w:pPr>
            <w:r w:rsidRPr="006A1BDE">
              <w:rPr>
                <w:rFonts w:ascii="Times New Roman" w:eastAsia="Times New Roman" w:hAnsi="Times New Roman" w:cs="Times New Roman"/>
                <w:b/>
                <w:bCs/>
                <w:sz w:val="24"/>
                <w:szCs w:val="24"/>
                <w:lang w:eastAsia="en-IN"/>
              </w:rPr>
              <w:t>to</w:t>
            </w:r>
          </w:p>
        </w:tc>
        <w:tc>
          <w:tcPr>
            <w:tcW w:w="0" w:type="auto"/>
            <w:vAlign w:val="center"/>
            <w:hideMark/>
          </w:tcPr>
          <w:p w14:paraId="1CBE6EAB" w14:textId="77777777" w:rsidR="006A1BDE" w:rsidRPr="006A1BDE" w:rsidRDefault="006A1BDE" w:rsidP="006A1BDE">
            <w:pPr>
              <w:spacing w:after="0" w:line="240" w:lineRule="auto"/>
              <w:jc w:val="center"/>
              <w:rPr>
                <w:rFonts w:ascii="Times New Roman" w:eastAsia="Times New Roman" w:hAnsi="Times New Roman" w:cs="Times New Roman"/>
                <w:b/>
                <w:bCs/>
                <w:sz w:val="24"/>
                <w:szCs w:val="24"/>
                <w:lang w:eastAsia="en-IN"/>
              </w:rPr>
            </w:pPr>
            <w:r w:rsidRPr="006A1BDE">
              <w:rPr>
                <w:rFonts w:ascii="Times New Roman" w:eastAsia="Times New Roman" w:hAnsi="Times New Roman" w:cs="Times New Roman"/>
                <w:b/>
                <w:bCs/>
                <w:sz w:val="24"/>
                <w:szCs w:val="24"/>
                <w:lang w:eastAsia="en-IN"/>
              </w:rPr>
              <w:t>ATE</w:t>
            </w:r>
          </w:p>
        </w:tc>
      </w:tr>
      <w:tr w:rsidR="006A1BDE" w:rsidRPr="006A1BDE" w14:paraId="4A8FBF81" w14:textId="77777777" w:rsidTr="006A1BDE">
        <w:trPr>
          <w:tblCellSpacing w:w="15" w:type="dxa"/>
        </w:trPr>
        <w:tc>
          <w:tcPr>
            <w:tcW w:w="0" w:type="auto"/>
            <w:vAlign w:val="center"/>
            <w:hideMark/>
          </w:tcPr>
          <w:p w14:paraId="652D2C75"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low</w:t>
            </w:r>
          </w:p>
        </w:tc>
        <w:tc>
          <w:tcPr>
            <w:tcW w:w="0" w:type="auto"/>
            <w:vAlign w:val="center"/>
            <w:hideMark/>
          </w:tcPr>
          <w:p w14:paraId="110F66E3"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medium</w:t>
            </w:r>
          </w:p>
        </w:tc>
        <w:tc>
          <w:tcPr>
            <w:tcW w:w="0" w:type="auto"/>
            <w:vAlign w:val="center"/>
            <w:hideMark/>
          </w:tcPr>
          <w:p w14:paraId="16EAD8E6"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5.139</w:t>
            </w:r>
          </w:p>
        </w:tc>
      </w:tr>
      <w:tr w:rsidR="006A1BDE" w:rsidRPr="006A1BDE" w14:paraId="45F05073" w14:textId="77777777" w:rsidTr="006A1BDE">
        <w:trPr>
          <w:tblCellSpacing w:w="15" w:type="dxa"/>
        </w:trPr>
        <w:tc>
          <w:tcPr>
            <w:tcW w:w="0" w:type="auto"/>
            <w:vAlign w:val="center"/>
            <w:hideMark/>
          </w:tcPr>
          <w:p w14:paraId="07B28A70"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medium</w:t>
            </w:r>
          </w:p>
        </w:tc>
        <w:tc>
          <w:tcPr>
            <w:tcW w:w="0" w:type="auto"/>
            <w:vAlign w:val="center"/>
            <w:hideMark/>
          </w:tcPr>
          <w:p w14:paraId="6775A49B"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high</w:t>
            </w:r>
          </w:p>
        </w:tc>
        <w:tc>
          <w:tcPr>
            <w:tcW w:w="0" w:type="auto"/>
            <w:vAlign w:val="center"/>
            <w:hideMark/>
          </w:tcPr>
          <w:p w14:paraId="2738B7CF"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7.518</w:t>
            </w:r>
          </w:p>
        </w:tc>
      </w:tr>
    </w:tbl>
    <w:p w14:paraId="2F4B13DC"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Below we verify we got the correct result by simulating the unconfounded dataset and measuring the difference between average sales for by mkt:</w:t>
      </w:r>
    </w:p>
    <w:p w14:paraId="6E45AEB8"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param_dag_model$f.args$mkt$betas$comp &lt;- 0</w:t>
      </w:r>
    </w:p>
    <w:p w14:paraId="024CB3D8"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sim_data &lt;- sim_mixed_dag(param_dag_model, N = 1000000)</w:t>
      </w:r>
    </w:p>
    <w:p w14:paraId="539C27A1"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sim_data %&gt;%</w:t>
      </w:r>
    </w:p>
    <w:p w14:paraId="28A9343E"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group_by(mkt) %&gt;%</w:t>
      </w:r>
    </w:p>
    <w:p w14:paraId="7E45F673"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summarise(sales = mean(sales)) %&gt;%</w:t>
      </w:r>
    </w:p>
    <w:p w14:paraId="5D0CA85D"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mutate(sales_diff = sales - lag(sales)) %&gt;%</w:t>
      </w:r>
    </w:p>
    <w:p w14:paraId="49A3EB19"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pandoc.table()</w:t>
      </w:r>
    </w:p>
    <w:tbl>
      <w:tblPr>
        <w:tblW w:w="2000" w:type="pct"/>
        <w:tblCellSpacing w:w="15" w:type="dxa"/>
        <w:tblCellMar>
          <w:top w:w="15" w:type="dxa"/>
          <w:left w:w="15" w:type="dxa"/>
          <w:bottom w:w="15" w:type="dxa"/>
          <w:right w:w="15" w:type="dxa"/>
        </w:tblCellMar>
        <w:tblLook w:val="04A0" w:firstRow="1" w:lastRow="0" w:firstColumn="1" w:lastColumn="0" w:noHBand="0" w:noVBand="1"/>
      </w:tblPr>
      <w:tblGrid>
        <w:gridCol w:w="1244"/>
        <w:gridCol w:w="867"/>
        <w:gridCol w:w="1499"/>
      </w:tblGrid>
      <w:tr w:rsidR="006A1BDE" w:rsidRPr="006A1BDE" w14:paraId="7A07DBC7" w14:textId="77777777" w:rsidTr="006A1BDE">
        <w:trPr>
          <w:tblHeader/>
          <w:tblCellSpacing w:w="15" w:type="dxa"/>
        </w:trPr>
        <w:tc>
          <w:tcPr>
            <w:tcW w:w="0" w:type="auto"/>
            <w:vAlign w:val="center"/>
            <w:hideMark/>
          </w:tcPr>
          <w:p w14:paraId="307F0CD4" w14:textId="77777777" w:rsidR="006A1BDE" w:rsidRPr="006A1BDE" w:rsidRDefault="006A1BDE" w:rsidP="006A1BDE">
            <w:pPr>
              <w:spacing w:after="0" w:line="240" w:lineRule="auto"/>
              <w:jc w:val="center"/>
              <w:rPr>
                <w:rFonts w:ascii="Times New Roman" w:eastAsia="Times New Roman" w:hAnsi="Times New Roman" w:cs="Times New Roman"/>
                <w:b/>
                <w:bCs/>
                <w:sz w:val="24"/>
                <w:szCs w:val="24"/>
                <w:lang w:eastAsia="en-IN"/>
              </w:rPr>
            </w:pPr>
            <w:r w:rsidRPr="006A1BDE">
              <w:rPr>
                <w:rFonts w:ascii="Times New Roman" w:eastAsia="Times New Roman" w:hAnsi="Times New Roman" w:cs="Times New Roman"/>
                <w:b/>
                <w:bCs/>
                <w:sz w:val="24"/>
                <w:szCs w:val="24"/>
                <w:lang w:eastAsia="en-IN"/>
              </w:rPr>
              <w:t>mkt</w:t>
            </w:r>
          </w:p>
        </w:tc>
        <w:tc>
          <w:tcPr>
            <w:tcW w:w="0" w:type="auto"/>
            <w:vAlign w:val="center"/>
            <w:hideMark/>
          </w:tcPr>
          <w:p w14:paraId="151BE654" w14:textId="77777777" w:rsidR="006A1BDE" w:rsidRPr="006A1BDE" w:rsidRDefault="006A1BDE" w:rsidP="006A1BDE">
            <w:pPr>
              <w:spacing w:after="0" w:line="240" w:lineRule="auto"/>
              <w:jc w:val="center"/>
              <w:rPr>
                <w:rFonts w:ascii="Times New Roman" w:eastAsia="Times New Roman" w:hAnsi="Times New Roman" w:cs="Times New Roman"/>
                <w:b/>
                <w:bCs/>
                <w:sz w:val="24"/>
                <w:szCs w:val="24"/>
                <w:lang w:eastAsia="en-IN"/>
              </w:rPr>
            </w:pPr>
            <w:r w:rsidRPr="006A1BDE">
              <w:rPr>
                <w:rFonts w:ascii="Times New Roman" w:eastAsia="Times New Roman" w:hAnsi="Times New Roman" w:cs="Times New Roman"/>
                <w:b/>
                <w:bCs/>
                <w:sz w:val="24"/>
                <w:szCs w:val="24"/>
                <w:lang w:eastAsia="en-IN"/>
              </w:rPr>
              <w:t>sales</w:t>
            </w:r>
          </w:p>
        </w:tc>
        <w:tc>
          <w:tcPr>
            <w:tcW w:w="0" w:type="auto"/>
            <w:vAlign w:val="center"/>
            <w:hideMark/>
          </w:tcPr>
          <w:p w14:paraId="6A5FD8AA" w14:textId="77777777" w:rsidR="006A1BDE" w:rsidRPr="006A1BDE" w:rsidRDefault="006A1BDE" w:rsidP="006A1BDE">
            <w:pPr>
              <w:spacing w:after="0" w:line="240" w:lineRule="auto"/>
              <w:jc w:val="center"/>
              <w:rPr>
                <w:rFonts w:ascii="Times New Roman" w:eastAsia="Times New Roman" w:hAnsi="Times New Roman" w:cs="Times New Roman"/>
                <w:b/>
                <w:bCs/>
                <w:sz w:val="24"/>
                <w:szCs w:val="24"/>
                <w:lang w:eastAsia="en-IN"/>
              </w:rPr>
            </w:pPr>
            <w:r w:rsidRPr="006A1BDE">
              <w:rPr>
                <w:rFonts w:ascii="Times New Roman" w:eastAsia="Times New Roman" w:hAnsi="Times New Roman" w:cs="Times New Roman"/>
                <w:b/>
                <w:bCs/>
                <w:sz w:val="24"/>
                <w:szCs w:val="24"/>
                <w:lang w:eastAsia="en-IN"/>
              </w:rPr>
              <w:t>sales_diff</w:t>
            </w:r>
          </w:p>
        </w:tc>
      </w:tr>
      <w:tr w:rsidR="006A1BDE" w:rsidRPr="006A1BDE" w14:paraId="6F7EA117" w14:textId="77777777" w:rsidTr="006A1BDE">
        <w:trPr>
          <w:tblCellSpacing w:w="15" w:type="dxa"/>
        </w:trPr>
        <w:tc>
          <w:tcPr>
            <w:tcW w:w="0" w:type="auto"/>
            <w:vAlign w:val="center"/>
            <w:hideMark/>
          </w:tcPr>
          <w:p w14:paraId="1A876252"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low</w:t>
            </w:r>
          </w:p>
        </w:tc>
        <w:tc>
          <w:tcPr>
            <w:tcW w:w="0" w:type="auto"/>
            <w:vAlign w:val="center"/>
            <w:hideMark/>
          </w:tcPr>
          <w:p w14:paraId="56D3B589"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0.147</w:t>
            </w:r>
          </w:p>
        </w:tc>
        <w:tc>
          <w:tcPr>
            <w:tcW w:w="0" w:type="auto"/>
            <w:vAlign w:val="center"/>
            <w:hideMark/>
          </w:tcPr>
          <w:p w14:paraId="12E82921"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NA</w:t>
            </w:r>
          </w:p>
        </w:tc>
      </w:tr>
      <w:tr w:rsidR="006A1BDE" w:rsidRPr="006A1BDE" w14:paraId="14774C4A" w14:textId="77777777" w:rsidTr="006A1BDE">
        <w:trPr>
          <w:tblCellSpacing w:w="15" w:type="dxa"/>
        </w:trPr>
        <w:tc>
          <w:tcPr>
            <w:tcW w:w="0" w:type="auto"/>
            <w:vAlign w:val="center"/>
            <w:hideMark/>
          </w:tcPr>
          <w:p w14:paraId="67F6E1D8"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medium</w:t>
            </w:r>
          </w:p>
        </w:tc>
        <w:tc>
          <w:tcPr>
            <w:tcW w:w="0" w:type="auto"/>
            <w:vAlign w:val="center"/>
            <w:hideMark/>
          </w:tcPr>
          <w:p w14:paraId="05430A4B"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4.82</w:t>
            </w:r>
          </w:p>
        </w:tc>
        <w:tc>
          <w:tcPr>
            <w:tcW w:w="0" w:type="auto"/>
            <w:vAlign w:val="center"/>
            <w:hideMark/>
          </w:tcPr>
          <w:p w14:paraId="77EE8528"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4.673</w:t>
            </w:r>
          </w:p>
        </w:tc>
      </w:tr>
      <w:tr w:rsidR="006A1BDE" w:rsidRPr="006A1BDE" w14:paraId="1EB6A86A" w14:textId="77777777" w:rsidTr="006A1BDE">
        <w:trPr>
          <w:tblCellSpacing w:w="15" w:type="dxa"/>
        </w:trPr>
        <w:tc>
          <w:tcPr>
            <w:tcW w:w="0" w:type="auto"/>
            <w:vAlign w:val="center"/>
            <w:hideMark/>
          </w:tcPr>
          <w:p w14:paraId="3FB676FE"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high</w:t>
            </w:r>
          </w:p>
        </w:tc>
        <w:tc>
          <w:tcPr>
            <w:tcW w:w="0" w:type="auto"/>
            <w:vAlign w:val="center"/>
            <w:hideMark/>
          </w:tcPr>
          <w:p w14:paraId="55FFCC62"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11.97</w:t>
            </w:r>
          </w:p>
        </w:tc>
        <w:tc>
          <w:tcPr>
            <w:tcW w:w="0" w:type="auto"/>
            <w:vAlign w:val="center"/>
            <w:hideMark/>
          </w:tcPr>
          <w:p w14:paraId="5150AAD6"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7.149</w:t>
            </w:r>
          </w:p>
        </w:tc>
      </w:tr>
    </w:tbl>
    <w:p w14:paraId="6067A7B9"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Seems close enough.</w:t>
      </w:r>
    </w:p>
    <w:p w14:paraId="039A4D69"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Let’s go back to the non-parametric model we defined earlier and calculate the \(ATE\) of educ on vocab:</w:t>
      </w:r>
    </w:p>
    <w:p w14:paraId="51986985"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educ_ate_on_vocab &lt;-</w:t>
      </w:r>
    </w:p>
    <w:p w14:paraId="5F14EBE1"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get_ate(non_param_dag_model,</w:t>
      </w:r>
    </w:p>
    <w:p w14:paraId="40AA0B67"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lastRenderedPageBreak/>
        <w:t xml:space="preserve">    treatment = "educ",</w:t>
      </w:r>
    </w:p>
    <w:p w14:paraId="56844123"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exposure = "vocab",</w:t>
      </w:r>
    </w:p>
    <w:p w14:paraId="2AC3C9F0"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treatment_vals = c(0, 12, 15, 17, 20),</w:t>
      </w:r>
    </w:p>
    <w:p w14:paraId="3426B715"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M = 300</w:t>
      </w:r>
    </w:p>
    <w:p w14:paraId="4C4A71A0"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 %&gt;% </w:t>
      </w:r>
    </w:p>
    <w:p w14:paraId="5EF5EE86"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mutate(min_education = c("high school", </w:t>
      </w:r>
    </w:p>
    <w:p w14:paraId="1BCC7DFF"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"1st degree", </w:t>
      </w:r>
    </w:p>
    <w:p w14:paraId="0F0A6805"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"2nd degree", </w:t>
      </w:r>
    </w:p>
    <w:p w14:paraId="1D454D21"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"PhD"))</w:t>
      </w:r>
    </w:p>
    <w:p w14:paraId="06AC9F24"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pandoc.table(educ_ate_on_vocab, </w:t>
      </w:r>
    </w:p>
    <w:p w14:paraId="2761EBBD" w14:textId="77777777" w:rsidR="006A1BDE" w:rsidRPr="006A1BDE" w:rsidRDefault="006A1BDE" w:rsidP="006A1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A1BDE">
        <w:rPr>
          <w:rFonts w:ascii="Courier New" w:eastAsia="Times New Roman" w:hAnsi="Courier New" w:cs="Courier New"/>
          <w:sz w:val="20"/>
          <w:szCs w:val="20"/>
          <w:lang w:eastAsia="en-IN"/>
        </w:rPr>
        <w:t xml:space="preserve">             caption = "educ ATE on vocab")</w:t>
      </w:r>
    </w:p>
    <w:tbl>
      <w:tblPr>
        <w:tblW w:w="2500" w:type="pct"/>
        <w:tblCellSpacing w:w="15" w:type="dxa"/>
        <w:tblCellMar>
          <w:top w:w="15" w:type="dxa"/>
          <w:left w:w="15" w:type="dxa"/>
          <w:bottom w:w="15" w:type="dxa"/>
          <w:right w:w="15" w:type="dxa"/>
        </w:tblCellMar>
        <w:tblLook w:val="04A0" w:firstRow="1" w:lastRow="0" w:firstColumn="1" w:lastColumn="0" w:noHBand="0" w:noVBand="1"/>
      </w:tblPr>
      <w:tblGrid>
        <w:gridCol w:w="814"/>
        <w:gridCol w:w="416"/>
        <w:gridCol w:w="1018"/>
        <w:gridCol w:w="2265"/>
      </w:tblGrid>
      <w:tr w:rsidR="006A1BDE" w:rsidRPr="006A1BDE" w14:paraId="211D1DC0" w14:textId="77777777" w:rsidTr="006A1BDE">
        <w:trPr>
          <w:tblHeader/>
          <w:tblCellSpacing w:w="15" w:type="dxa"/>
        </w:trPr>
        <w:tc>
          <w:tcPr>
            <w:tcW w:w="0" w:type="auto"/>
            <w:gridSpan w:val="4"/>
            <w:tcBorders>
              <w:top w:val="nil"/>
              <w:left w:val="nil"/>
              <w:bottom w:val="nil"/>
              <w:right w:val="nil"/>
            </w:tcBorders>
            <w:vAlign w:val="center"/>
            <w:hideMark/>
          </w:tcPr>
          <w:p w14:paraId="729D8C52"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educ ATE on vocab</w:t>
            </w:r>
          </w:p>
        </w:tc>
      </w:tr>
      <w:tr w:rsidR="006A1BDE" w:rsidRPr="006A1BDE" w14:paraId="2892C0F7" w14:textId="77777777" w:rsidTr="006A1BDE">
        <w:trPr>
          <w:tblHeader/>
          <w:tblCellSpacing w:w="15" w:type="dxa"/>
        </w:trPr>
        <w:tc>
          <w:tcPr>
            <w:tcW w:w="0" w:type="auto"/>
            <w:vAlign w:val="center"/>
            <w:hideMark/>
          </w:tcPr>
          <w:p w14:paraId="750B213E" w14:textId="77777777" w:rsidR="006A1BDE" w:rsidRPr="006A1BDE" w:rsidRDefault="006A1BDE" w:rsidP="006A1BDE">
            <w:pPr>
              <w:spacing w:after="0" w:line="240" w:lineRule="auto"/>
              <w:jc w:val="center"/>
              <w:rPr>
                <w:rFonts w:ascii="Times New Roman" w:eastAsia="Times New Roman" w:hAnsi="Times New Roman" w:cs="Times New Roman"/>
                <w:b/>
                <w:bCs/>
                <w:sz w:val="24"/>
                <w:szCs w:val="24"/>
                <w:lang w:eastAsia="en-IN"/>
              </w:rPr>
            </w:pPr>
            <w:r w:rsidRPr="006A1BDE">
              <w:rPr>
                <w:rFonts w:ascii="Times New Roman" w:eastAsia="Times New Roman" w:hAnsi="Times New Roman" w:cs="Times New Roman"/>
                <w:b/>
                <w:bCs/>
                <w:sz w:val="24"/>
                <w:szCs w:val="24"/>
                <w:lang w:eastAsia="en-IN"/>
              </w:rPr>
              <w:t>from</w:t>
            </w:r>
          </w:p>
        </w:tc>
        <w:tc>
          <w:tcPr>
            <w:tcW w:w="0" w:type="auto"/>
            <w:vAlign w:val="center"/>
            <w:hideMark/>
          </w:tcPr>
          <w:p w14:paraId="47074733" w14:textId="77777777" w:rsidR="006A1BDE" w:rsidRPr="006A1BDE" w:rsidRDefault="006A1BDE" w:rsidP="006A1BDE">
            <w:pPr>
              <w:spacing w:after="0" w:line="240" w:lineRule="auto"/>
              <w:jc w:val="center"/>
              <w:rPr>
                <w:rFonts w:ascii="Times New Roman" w:eastAsia="Times New Roman" w:hAnsi="Times New Roman" w:cs="Times New Roman"/>
                <w:b/>
                <w:bCs/>
                <w:sz w:val="24"/>
                <w:szCs w:val="24"/>
                <w:lang w:eastAsia="en-IN"/>
              </w:rPr>
            </w:pPr>
            <w:r w:rsidRPr="006A1BDE">
              <w:rPr>
                <w:rFonts w:ascii="Times New Roman" w:eastAsia="Times New Roman" w:hAnsi="Times New Roman" w:cs="Times New Roman"/>
                <w:b/>
                <w:bCs/>
                <w:sz w:val="24"/>
                <w:szCs w:val="24"/>
                <w:lang w:eastAsia="en-IN"/>
              </w:rPr>
              <w:t>to</w:t>
            </w:r>
          </w:p>
        </w:tc>
        <w:tc>
          <w:tcPr>
            <w:tcW w:w="0" w:type="auto"/>
            <w:vAlign w:val="center"/>
            <w:hideMark/>
          </w:tcPr>
          <w:p w14:paraId="7D435D25" w14:textId="77777777" w:rsidR="006A1BDE" w:rsidRPr="006A1BDE" w:rsidRDefault="006A1BDE" w:rsidP="006A1BDE">
            <w:pPr>
              <w:spacing w:after="0" w:line="240" w:lineRule="auto"/>
              <w:jc w:val="center"/>
              <w:rPr>
                <w:rFonts w:ascii="Times New Roman" w:eastAsia="Times New Roman" w:hAnsi="Times New Roman" w:cs="Times New Roman"/>
                <w:b/>
                <w:bCs/>
                <w:sz w:val="24"/>
                <w:szCs w:val="24"/>
                <w:lang w:eastAsia="en-IN"/>
              </w:rPr>
            </w:pPr>
            <w:r w:rsidRPr="006A1BDE">
              <w:rPr>
                <w:rFonts w:ascii="Times New Roman" w:eastAsia="Times New Roman" w:hAnsi="Times New Roman" w:cs="Times New Roman"/>
                <w:b/>
                <w:bCs/>
                <w:sz w:val="24"/>
                <w:szCs w:val="24"/>
                <w:lang w:eastAsia="en-IN"/>
              </w:rPr>
              <w:t>ATE</w:t>
            </w:r>
          </w:p>
        </w:tc>
        <w:tc>
          <w:tcPr>
            <w:tcW w:w="0" w:type="auto"/>
            <w:vAlign w:val="center"/>
            <w:hideMark/>
          </w:tcPr>
          <w:p w14:paraId="1C594AAE" w14:textId="77777777" w:rsidR="006A1BDE" w:rsidRPr="006A1BDE" w:rsidRDefault="006A1BDE" w:rsidP="006A1BDE">
            <w:pPr>
              <w:spacing w:after="0" w:line="240" w:lineRule="auto"/>
              <w:jc w:val="center"/>
              <w:rPr>
                <w:rFonts w:ascii="Times New Roman" w:eastAsia="Times New Roman" w:hAnsi="Times New Roman" w:cs="Times New Roman"/>
                <w:b/>
                <w:bCs/>
                <w:sz w:val="24"/>
                <w:szCs w:val="24"/>
                <w:lang w:eastAsia="en-IN"/>
              </w:rPr>
            </w:pPr>
            <w:r w:rsidRPr="006A1BDE">
              <w:rPr>
                <w:rFonts w:ascii="Times New Roman" w:eastAsia="Times New Roman" w:hAnsi="Times New Roman" w:cs="Times New Roman"/>
                <w:b/>
                <w:bCs/>
                <w:sz w:val="24"/>
                <w:szCs w:val="24"/>
                <w:lang w:eastAsia="en-IN"/>
              </w:rPr>
              <w:t>min_education</w:t>
            </w:r>
          </w:p>
        </w:tc>
      </w:tr>
      <w:tr w:rsidR="006A1BDE" w:rsidRPr="006A1BDE" w14:paraId="1A100DA2" w14:textId="77777777" w:rsidTr="006A1BDE">
        <w:trPr>
          <w:tblCellSpacing w:w="15" w:type="dxa"/>
        </w:trPr>
        <w:tc>
          <w:tcPr>
            <w:tcW w:w="0" w:type="auto"/>
            <w:vAlign w:val="center"/>
            <w:hideMark/>
          </w:tcPr>
          <w:p w14:paraId="21018FB6"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0</w:t>
            </w:r>
          </w:p>
        </w:tc>
        <w:tc>
          <w:tcPr>
            <w:tcW w:w="0" w:type="auto"/>
            <w:vAlign w:val="center"/>
            <w:hideMark/>
          </w:tcPr>
          <w:p w14:paraId="53F2F3A3"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12</w:t>
            </w:r>
          </w:p>
        </w:tc>
        <w:tc>
          <w:tcPr>
            <w:tcW w:w="0" w:type="auto"/>
            <w:vAlign w:val="center"/>
            <w:hideMark/>
          </w:tcPr>
          <w:p w14:paraId="2A7988BC"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2.228</w:t>
            </w:r>
          </w:p>
        </w:tc>
        <w:tc>
          <w:tcPr>
            <w:tcW w:w="0" w:type="auto"/>
            <w:vAlign w:val="center"/>
            <w:hideMark/>
          </w:tcPr>
          <w:p w14:paraId="137F69F1"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high school</w:t>
            </w:r>
          </w:p>
        </w:tc>
      </w:tr>
      <w:tr w:rsidR="006A1BDE" w:rsidRPr="006A1BDE" w14:paraId="4C6910F6" w14:textId="77777777" w:rsidTr="006A1BDE">
        <w:trPr>
          <w:tblCellSpacing w:w="15" w:type="dxa"/>
        </w:trPr>
        <w:tc>
          <w:tcPr>
            <w:tcW w:w="0" w:type="auto"/>
            <w:vAlign w:val="center"/>
            <w:hideMark/>
          </w:tcPr>
          <w:p w14:paraId="74E7B379"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12</w:t>
            </w:r>
          </w:p>
        </w:tc>
        <w:tc>
          <w:tcPr>
            <w:tcW w:w="0" w:type="auto"/>
            <w:vAlign w:val="center"/>
            <w:hideMark/>
          </w:tcPr>
          <w:p w14:paraId="77DD2EED"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15</w:t>
            </w:r>
          </w:p>
        </w:tc>
        <w:tc>
          <w:tcPr>
            <w:tcW w:w="0" w:type="auto"/>
            <w:vAlign w:val="center"/>
            <w:hideMark/>
          </w:tcPr>
          <w:p w14:paraId="7B5E319B"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1.119</w:t>
            </w:r>
          </w:p>
        </w:tc>
        <w:tc>
          <w:tcPr>
            <w:tcW w:w="0" w:type="auto"/>
            <w:vAlign w:val="center"/>
            <w:hideMark/>
          </w:tcPr>
          <w:p w14:paraId="67A1FCB8"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1st degree</w:t>
            </w:r>
          </w:p>
        </w:tc>
      </w:tr>
      <w:tr w:rsidR="006A1BDE" w:rsidRPr="006A1BDE" w14:paraId="36CFCA98" w14:textId="77777777" w:rsidTr="006A1BDE">
        <w:trPr>
          <w:tblCellSpacing w:w="15" w:type="dxa"/>
        </w:trPr>
        <w:tc>
          <w:tcPr>
            <w:tcW w:w="0" w:type="auto"/>
            <w:vAlign w:val="center"/>
            <w:hideMark/>
          </w:tcPr>
          <w:p w14:paraId="75BC7957"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15</w:t>
            </w:r>
          </w:p>
        </w:tc>
        <w:tc>
          <w:tcPr>
            <w:tcW w:w="0" w:type="auto"/>
            <w:vAlign w:val="center"/>
            <w:hideMark/>
          </w:tcPr>
          <w:p w14:paraId="5A8805DA"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17</w:t>
            </w:r>
          </w:p>
        </w:tc>
        <w:tc>
          <w:tcPr>
            <w:tcW w:w="0" w:type="auto"/>
            <w:vAlign w:val="center"/>
            <w:hideMark/>
          </w:tcPr>
          <w:p w14:paraId="2F5550CA"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0.7399</w:t>
            </w:r>
          </w:p>
        </w:tc>
        <w:tc>
          <w:tcPr>
            <w:tcW w:w="0" w:type="auto"/>
            <w:vAlign w:val="center"/>
            <w:hideMark/>
          </w:tcPr>
          <w:p w14:paraId="770931FE"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2nd degree</w:t>
            </w:r>
          </w:p>
        </w:tc>
      </w:tr>
      <w:tr w:rsidR="006A1BDE" w:rsidRPr="006A1BDE" w14:paraId="075491E6" w14:textId="77777777" w:rsidTr="006A1BDE">
        <w:trPr>
          <w:tblCellSpacing w:w="15" w:type="dxa"/>
        </w:trPr>
        <w:tc>
          <w:tcPr>
            <w:tcW w:w="0" w:type="auto"/>
            <w:vAlign w:val="center"/>
            <w:hideMark/>
          </w:tcPr>
          <w:p w14:paraId="5C9C03A8"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17</w:t>
            </w:r>
          </w:p>
        </w:tc>
        <w:tc>
          <w:tcPr>
            <w:tcW w:w="0" w:type="auto"/>
            <w:vAlign w:val="center"/>
            <w:hideMark/>
          </w:tcPr>
          <w:p w14:paraId="68452716"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20</w:t>
            </w:r>
          </w:p>
        </w:tc>
        <w:tc>
          <w:tcPr>
            <w:tcW w:w="0" w:type="auto"/>
            <w:vAlign w:val="center"/>
            <w:hideMark/>
          </w:tcPr>
          <w:p w14:paraId="3FF955C7"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0.5299</w:t>
            </w:r>
          </w:p>
        </w:tc>
        <w:tc>
          <w:tcPr>
            <w:tcW w:w="0" w:type="auto"/>
            <w:vAlign w:val="center"/>
            <w:hideMark/>
          </w:tcPr>
          <w:p w14:paraId="5B5C8484" w14:textId="77777777" w:rsidR="006A1BDE" w:rsidRPr="006A1BDE" w:rsidRDefault="006A1BDE" w:rsidP="006A1BDE">
            <w:pPr>
              <w:spacing w:after="0" w:line="240" w:lineRule="auto"/>
              <w:jc w:val="center"/>
              <w:rPr>
                <w:rFonts w:ascii="Times New Roman" w:eastAsia="Times New Roman" w:hAnsi="Times New Roman" w:cs="Times New Roman"/>
                <w:sz w:val="24"/>
                <w:szCs w:val="24"/>
                <w:lang w:eastAsia="en-IN"/>
              </w:rPr>
            </w:pPr>
            <w:r w:rsidRPr="006A1BDE">
              <w:rPr>
                <w:rFonts w:ascii="Times New Roman" w:eastAsia="Times New Roman" w:hAnsi="Times New Roman" w:cs="Times New Roman"/>
                <w:sz w:val="24"/>
                <w:szCs w:val="24"/>
                <w:lang w:eastAsia="en-IN"/>
              </w:rPr>
              <w:t>PhD</w:t>
            </w:r>
          </w:p>
        </w:tc>
      </w:tr>
    </w:tbl>
    <w:p w14:paraId="526DE524" w14:textId="77777777" w:rsidR="006A1BDE" w:rsidRPr="006A1BDE" w:rsidRDefault="006A1BDE" w:rsidP="006A1BDE">
      <w:pPr>
        <w:spacing w:before="100" w:beforeAutospacing="1" w:after="100" w:afterAutospacing="1" w:line="240" w:lineRule="auto"/>
        <w:rPr>
          <w:rFonts w:ascii="Times New Roman" w:eastAsia="Times New Roman" w:hAnsi="Times New Roman" w:cs="Times New Roman"/>
          <w:sz w:val="20"/>
          <w:szCs w:val="20"/>
          <w:lang w:eastAsia="en-IN"/>
        </w:rPr>
      </w:pPr>
      <w:r w:rsidRPr="006A1BDE">
        <w:rPr>
          <w:rFonts w:ascii="Times New Roman" w:eastAsia="Times New Roman" w:hAnsi="Times New Roman" w:cs="Times New Roman"/>
          <w:sz w:val="20"/>
          <w:szCs w:val="20"/>
          <w:lang w:eastAsia="en-IN"/>
        </w:rPr>
        <w:t>It would seem academic accomplishments have diminishing returns.</w:t>
      </w:r>
    </w:p>
    <w:p w14:paraId="31E1B5AE" w14:textId="77777777" w:rsidR="00E7210C" w:rsidRDefault="00E7210C"/>
    <w:sectPr w:rsidR="00E72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F2F8E"/>
    <w:multiLevelType w:val="multilevel"/>
    <w:tmpl w:val="33E07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BDE"/>
    <w:rsid w:val="006A1BDE"/>
    <w:rsid w:val="00E72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CFE89"/>
  <w15:chartTrackingRefBased/>
  <w15:docId w15:val="{042EF1AA-BFC8-4405-BB0C-10811F198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4506">
      <w:bodyDiv w:val="1"/>
      <w:marLeft w:val="0"/>
      <w:marRight w:val="0"/>
      <w:marTop w:val="0"/>
      <w:marBottom w:val="0"/>
      <w:divBdr>
        <w:top w:val="none" w:sz="0" w:space="0" w:color="auto"/>
        <w:left w:val="none" w:sz="0" w:space="0" w:color="auto"/>
        <w:bottom w:val="none" w:sz="0" w:space="0" w:color="auto"/>
        <w:right w:val="none" w:sz="0" w:space="0" w:color="auto"/>
      </w:divBdr>
      <w:divsChild>
        <w:div w:id="1001615825">
          <w:marLeft w:val="0"/>
          <w:marRight w:val="0"/>
          <w:marTop w:val="0"/>
          <w:marBottom w:val="0"/>
          <w:divBdr>
            <w:top w:val="none" w:sz="0" w:space="0" w:color="auto"/>
            <w:left w:val="none" w:sz="0" w:space="0" w:color="auto"/>
            <w:bottom w:val="none" w:sz="0" w:space="0" w:color="auto"/>
            <w:right w:val="none" w:sz="0" w:space="0" w:color="auto"/>
          </w:divBdr>
        </w:div>
        <w:div w:id="648945268">
          <w:marLeft w:val="0"/>
          <w:marRight w:val="0"/>
          <w:marTop w:val="0"/>
          <w:marBottom w:val="0"/>
          <w:divBdr>
            <w:top w:val="none" w:sz="0" w:space="0" w:color="auto"/>
            <w:left w:val="none" w:sz="0" w:space="0" w:color="auto"/>
            <w:bottom w:val="none" w:sz="0" w:space="0" w:color="auto"/>
            <w:right w:val="none" w:sz="0" w:space="0" w:color="auto"/>
          </w:divBdr>
          <w:divsChild>
            <w:div w:id="388385441">
              <w:marLeft w:val="0"/>
              <w:marRight w:val="0"/>
              <w:marTop w:val="0"/>
              <w:marBottom w:val="0"/>
              <w:divBdr>
                <w:top w:val="none" w:sz="0" w:space="0" w:color="auto"/>
                <w:left w:val="none" w:sz="0" w:space="0" w:color="auto"/>
                <w:bottom w:val="none" w:sz="0" w:space="0" w:color="auto"/>
                <w:right w:val="none" w:sz="0" w:space="0" w:color="auto"/>
              </w:divBdr>
            </w:div>
          </w:divsChild>
        </w:div>
        <w:div w:id="19555544">
          <w:marLeft w:val="0"/>
          <w:marRight w:val="0"/>
          <w:marTop w:val="0"/>
          <w:marBottom w:val="0"/>
          <w:divBdr>
            <w:top w:val="none" w:sz="0" w:space="0" w:color="auto"/>
            <w:left w:val="none" w:sz="0" w:space="0" w:color="auto"/>
            <w:bottom w:val="none" w:sz="0" w:space="0" w:color="auto"/>
            <w:right w:val="none" w:sz="0" w:space="0" w:color="auto"/>
          </w:divBdr>
          <w:divsChild>
            <w:div w:id="1259024994">
              <w:marLeft w:val="0"/>
              <w:marRight w:val="0"/>
              <w:marTop w:val="0"/>
              <w:marBottom w:val="0"/>
              <w:divBdr>
                <w:top w:val="none" w:sz="0" w:space="0" w:color="auto"/>
                <w:left w:val="none" w:sz="0" w:space="0" w:color="auto"/>
                <w:bottom w:val="none" w:sz="0" w:space="0" w:color="auto"/>
                <w:right w:val="none" w:sz="0" w:space="0" w:color="auto"/>
              </w:divBdr>
            </w:div>
          </w:divsChild>
        </w:div>
        <w:div w:id="1743940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eneralized_additive_model"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github.com/IyarLin/simMixedDAG"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thub.com/IyarLin/blog-code/blob/master/miscellaneous%20files/Atlantic%20Causal%20Inference%20Conference%20Data%20Analysis%20Challenge%202017.pdf" TargetMode="Externa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hyperlink" Target="https://iyarlin.github.io/2019/05/20/causal-inference-bake-off-kaggle-style/" TargetMode="Externa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vincentarelbundock.github.io/Rdatasets/doc/carData/GSSvocab.html" TargetMode="External"/><Relationship Id="rId14" Type="http://schemas.openxmlformats.org/officeDocument/2006/relationships/hyperlink" Target="https://iyarlin.github.io/2019/02/08/correlation-is-not-causation-so-what-is/" TargetMode="External"/><Relationship Id="rId22" Type="http://schemas.openxmlformats.org/officeDocument/2006/relationships/hyperlink" Target="https://iyarlin.github.io/2019/02/08/correlation-is-not-causation-so-what-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2092</Words>
  <Characters>11927</Characters>
  <Application>Microsoft Office Word</Application>
  <DocSecurity>0</DocSecurity>
  <Lines>99</Lines>
  <Paragraphs>27</Paragraphs>
  <ScaleCrop>false</ScaleCrop>
  <Company/>
  <LinksUpToDate>false</LinksUpToDate>
  <CharactersWithSpaces>13992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2021-11-16T05:37:00Z</dcterms:created>
  <dcterms:modified xsi:type="dcterms:W3CDTF">2021-11-16T05:38:00Z</dcterms:modified>
</cp:coreProperties>
</file>