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E5C0"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Writing a domain-specific language (DSL) is a powerful and fairly common method for extending the R language. Both </w:t>
      </w:r>
      <w:r w:rsidRPr="00E21FA7">
        <w:rPr>
          <w:rFonts w:ascii="Courier New" w:eastAsia="Times New Roman" w:hAnsi="Courier New" w:cs="Courier New"/>
          <w:sz w:val="20"/>
          <w:szCs w:val="20"/>
          <w:lang w:eastAsia="en-IN"/>
        </w:rPr>
        <w:t>ggplot2</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dplyr</w:t>
      </w:r>
      <w:r w:rsidRPr="00E21FA7">
        <w:rPr>
          <w:rFonts w:ascii="Times New Roman" w:eastAsia="Times New Roman" w:hAnsi="Times New Roman" w:cs="Times New Roman"/>
          <w:sz w:val="20"/>
          <w:szCs w:val="20"/>
          <w:lang w:eastAsia="en-IN"/>
        </w:rPr>
        <w:t xml:space="preserve">, for example, are DSLs. (See Hadley’s </w:t>
      </w:r>
      <w:hyperlink r:id="rId4" w:tgtFrame="_blank" w:history="1">
        <w:r w:rsidRPr="00E21FA7">
          <w:rPr>
            <w:rFonts w:ascii="Times New Roman" w:eastAsia="Times New Roman" w:hAnsi="Times New Roman" w:cs="Times New Roman"/>
            <w:color w:val="0000FF"/>
            <w:sz w:val="20"/>
            <w:szCs w:val="20"/>
            <w:u w:val="single"/>
            <w:lang w:eastAsia="en-IN"/>
          </w:rPr>
          <w:t>chapter in Advanced R</w:t>
        </w:r>
      </w:hyperlink>
      <w:r w:rsidRPr="00E21FA7">
        <w:rPr>
          <w:rFonts w:ascii="Times New Roman" w:eastAsia="Times New Roman" w:hAnsi="Times New Roman" w:cs="Times New Roman"/>
          <w:sz w:val="20"/>
          <w:szCs w:val="20"/>
          <w:lang w:eastAsia="en-IN"/>
        </w:rPr>
        <w:t xml:space="preserve"> for some elaboration.) In this post, I take a first look at </w:t>
      </w:r>
      <w:hyperlink r:id="rId5" w:tgtFrame="_blank" w:history="1">
        <w:r w:rsidRPr="00E21FA7">
          <w:rPr>
            <w:rFonts w:ascii="Courier New" w:eastAsia="Times New Roman" w:hAnsi="Courier New" w:cs="Courier New"/>
            <w:color w:val="0000FF"/>
            <w:sz w:val="20"/>
            <w:szCs w:val="20"/>
            <w:u w:val="single"/>
            <w:lang w:eastAsia="en-IN"/>
          </w:rPr>
          <w:t>NIMBLE</w:t>
        </w:r>
      </w:hyperlink>
      <w:r w:rsidRPr="00E21FA7">
        <w:rPr>
          <w:rFonts w:ascii="Times New Roman" w:eastAsia="Times New Roman" w:hAnsi="Times New Roman" w:cs="Times New Roman"/>
          <w:sz w:val="20"/>
          <w:szCs w:val="20"/>
          <w:lang w:eastAsia="en-IN"/>
        </w:rPr>
        <w:t xml:space="preserve"> (Numerical Inference for Statistical Models using Bayesian and Likelihood Estimation), a DSL for formulating and efficiently solving statistical models in general, and Bayesian hierarchical models in particular. The latter comprise a class of interpretable statistical models useful for both inference and prediction. (See Gelman’s 2006 </w:t>
      </w:r>
      <w:hyperlink r:id="rId6" w:tgtFrame="_blank" w:history="1">
        <w:r w:rsidRPr="00E21FA7">
          <w:rPr>
            <w:rFonts w:ascii="Times New Roman" w:eastAsia="Times New Roman" w:hAnsi="Times New Roman" w:cs="Times New Roman"/>
            <w:color w:val="0000FF"/>
            <w:sz w:val="20"/>
            <w:szCs w:val="20"/>
            <w:u w:val="single"/>
            <w:lang w:eastAsia="en-IN"/>
          </w:rPr>
          <w:t>Technographics paper</w:t>
        </w:r>
      </w:hyperlink>
      <w:r w:rsidRPr="00E21FA7">
        <w:rPr>
          <w:rFonts w:ascii="Times New Roman" w:eastAsia="Times New Roman" w:hAnsi="Times New Roman" w:cs="Times New Roman"/>
          <w:sz w:val="20"/>
          <w:szCs w:val="20"/>
          <w:lang w:eastAsia="en-IN"/>
        </w:rPr>
        <w:t xml:space="preserve"> for what these models can and cannot do.)</w:t>
      </w:r>
    </w:p>
    <w:p w14:paraId="2334F5FB"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Most of what I describe here can be found in the comprehensive and the very readable </w:t>
      </w:r>
      <w:hyperlink r:id="rId7" w:tgtFrame="_blank" w:history="1">
        <w:r w:rsidRPr="00E21FA7">
          <w:rPr>
            <w:rFonts w:ascii="Times New Roman" w:eastAsia="Times New Roman" w:hAnsi="Times New Roman" w:cs="Times New Roman"/>
            <w:color w:val="0000FF"/>
            <w:sz w:val="20"/>
            <w:szCs w:val="20"/>
            <w:u w:val="single"/>
            <w:lang w:eastAsia="en-IN"/>
          </w:rPr>
          <w:t>paper</w:t>
        </w:r>
      </w:hyperlink>
      <w:r w:rsidRPr="00E21FA7">
        <w:rPr>
          <w:rFonts w:ascii="Times New Roman" w:eastAsia="Times New Roman" w:hAnsi="Times New Roman" w:cs="Times New Roman"/>
          <w:sz w:val="20"/>
          <w:szCs w:val="20"/>
          <w:lang w:eastAsia="en-IN"/>
        </w:rPr>
        <w:t xml:space="preserve"> by Valpine et al., or the extensive </w:t>
      </w:r>
      <w:hyperlink r:id="rId8" w:tgtFrame="_blank" w:history="1">
        <w:r w:rsidRPr="00E21FA7">
          <w:rPr>
            <w:rFonts w:ascii="Times New Roman" w:eastAsia="Times New Roman" w:hAnsi="Times New Roman" w:cs="Times New Roman"/>
            <w:color w:val="0000FF"/>
            <w:sz w:val="20"/>
            <w:szCs w:val="20"/>
            <w:u w:val="single"/>
            <w:lang w:eastAsia="en-IN"/>
          </w:rPr>
          <w:t>NIMBLE User Manual</w:t>
        </w:r>
      </w:hyperlink>
      <w:r w:rsidRPr="00E21FA7">
        <w:rPr>
          <w:rFonts w:ascii="Times New Roman" w:eastAsia="Times New Roman" w:hAnsi="Times New Roman" w:cs="Times New Roman"/>
          <w:sz w:val="20"/>
          <w:szCs w:val="20"/>
          <w:lang w:eastAsia="en-IN"/>
        </w:rPr>
        <w:t>.</w:t>
      </w:r>
    </w:p>
    <w:p w14:paraId="41CD622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At the risk of oversimplification, it seems to me that the essence of the NIMBLE is that it is a system for developing models designed around two dichotomies. The first dichotomy is that NIMBLE separates the specification of a model from the implementation of the algorithms that express it. A user can formulate a model in the </w:t>
      </w:r>
      <w:hyperlink r:id="rId9" w:tgtFrame="_blank" w:history="1">
        <w:r w:rsidRPr="00E21FA7">
          <w:rPr>
            <w:rFonts w:ascii="Courier New" w:eastAsia="Times New Roman" w:hAnsi="Courier New" w:cs="Courier New"/>
            <w:color w:val="0000FF"/>
            <w:sz w:val="20"/>
            <w:szCs w:val="20"/>
            <w:u w:val="single"/>
            <w:lang w:eastAsia="en-IN"/>
          </w:rPr>
          <w:t>BUGS</w:t>
        </w:r>
      </w:hyperlink>
      <w:r w:rsidRPr="00E21FA7">
        <w:rPr>
          <w:rFonts w:ascii="Times New Roman" w:eastAsia="Times New Roman" w:hAnsi="Times New Roman" w:cs="Times New Roman"/>
          <w:sz w:val="20"/>
          <w:szCs w:val="20"/>
          <w:lang w:eastAsia="en-IN"/>
        </w:rPr>
        <w:t xml:space="preserve"> language, and then use different NIMBLE functions to solve the model. Or, looking at things the other way round, a user can write a NIMBLE function to implement some algorithm or another efficiently, and then use this function in different models.</w:t>
      </w:r>
    </w:p>
    <w:p w14:paraId="7F3AF59C"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second dichotomy separates model setup from model execution. NIMBLE programming is done by writing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(see </w:t>
      </w:r>
      <w:hyperlink r:id="rId10" w:tgtFrame="_blank" w:history="1">
        <w:r w:rsidRPr="00E21FA7">
          <w:rPr>
            <w:rFonts w:ascii="Times New Roman" w:eastAsia="Times New Roman" w:hAnsi="Times New Roman" w:cs="Times New Roman"/>
            <w:color w:val="0000FF"/>
            <w:sz w:val="20"/>
            <w:szCs w:val="20"/>
            <w:u w:val="single"/>
            <w:lang w:eastAsia="en-IN"/>
          </w:rPr>
          <w:t>Chapter 11 of the Manual</w:t>
        </w:r>
      </w:hyperlink>
      <w:r w:rsidRPr="00E21FA7">
        <w:rPr>
          <w:rFonts w:ascii="Times New Roman" w:eastAsia="Times New Roman" w:hAnsi="Times New Roman" w:cs="Times New Roman"/>
          <w:sz w:val="20"/>
          <w:szCs w:val="20"/>
          <w:lang w:eastAsia="en-IN"/>
        </w:rPr>
        <w:t xml:space="preserve">), a subset of the R Language that is augmented with additional data structures and made compilable.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come in two flavors. </w:t>
      </w:r>
      <w:r w:rsidRPr="00E21FA7">
        <w:rPr>
          <w:rFonts w:ascii="Times New Roman" w:eastAsia="Times New Roman" w:hAnsi="Times New Roman" w:cs="Times New Roman"/>
          <w:b/>
          <w:bCs/>
          <w:sz w:val="20"/>
          <w:szCs w:val="20"/>
          <w:lang w:eastAsia="en-IN"/>
        </w:rPr>
        <w:t>Setup</w:t>
      </w:r>
      <w:r w:rsidRPr="00E21FA7">
        <w:rPr>
          <w:rFonts w:ascii="Times New Roman" w:eastAsia="Times New Roman" w:hAnsi="Times New Roman" w:cs="Times New Roman"/>
          <w:sz w:val="20"/>
          <w:szCs w:val="20"/>
          <w:lang w:eastAsia="en-IN"/>
        </w:rPr>
        <w:t xml:space="preserve"> functions run once for each model, node any model structure used to define the model. </w:t>
      </w:r>
      <w:r w:rsidRPr="00E21FA7">
        <w:rPr>
          <w:rFonts w:ascii="Times New Roman" w:eastAsia="Times New Roman" w:hAnsi="Times New Roman" w:cs="Times New Roman"/>
          <w:b/>
          <w:bCs/>
          <w:sz w:val="20"/>
          <w:szCs w:val="20"/>
          <w:lang w:eastAsia="en-IN"/>
        </w:rPr>
        <w:t>Run</w:t>
      </w:r>
      <w:r w:rsidRPr="00E21FA7">
        <w:rPr>
          <w:rFonts w:ascii="Times New Roman" w:eastAsia="Times New Roman" w:hAnsi="Times New Roman" w:cs="Times New Roman"/>
          <w:sz w:val="20"/>
          <w:szCs w:val="20"/>
          <w:lang w:eastAsia="en-IN"/>
        </w:rPr>
        <w:t xml:space="preserve"> functions can be executed by R or compiled into C++ code.</w:t>
      </w:r>
    </w:p>
    <w:p w14:paraId="13ED6F8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NIMBLE is actually more complicated, or should I say “richer”, than this. There are many advanced programming concepts to wrap your head around. Nevertheless, it is pretty straightforward to start using NIMBLE for models that already have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implementations. The best way to get started for anyone new to Bayesian statistics, or whose hierarchical model building skills may be a bit rusty, is to take the advice of the NIMBLE developers and work through the Pump Model example in Chapter 2 of the manual. In the rest of this post, I present an abbreviated and slightly reworked version of that model.</w:t>
      </w:r>
    </w:p>
    <w:p w14:paraId="16DBC896"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Before getting started, note that although NIMBLE is an </w:t>
      </w:r>
      <w:hyperlink r:id="rId11" w:tgtFrame="_blank" w:history="1">
        <w:r w:rsidRPr="00E21FA7">
          <w:rPr>
            <w:rFonts w:ascii="Times New Roman" w:eastAsia="Times New Roman" w:hAnsi="Times New Roman" w:cs="Times New Roman"/>
            <w:color w:val="0000FF"/>
            <w:sz w:val="20"/>
            <w:szCs w:val="20"/>
            <w:u w:val="single"/>
            <w:lang w:eastAsia="en-IN"/>
          </w:rPr>
          <w:t>R package</w:t>
        </w:r>
      </w:hyperlink>
      <w:r w:rsidRPr="00E21FA7">
        <w:rPr>
          <w:rFonts w:ascii="Times New Roman" w:eastAsia="Times New Roman" w:hAnsi="Times New Roman" w:cs="Times New Roman"/>
          <w:sz w:val="20"/>
          <w:szCs w:val="20"/>
          <w:lang w:eastAsia="en-IN"/>
        </w:rPr>
        <w:t xml:space="preserve"> listed on CRAN, and it installs like any other R package, you must have a C++ compiler and the standard </w:t>
      </w:r>
      <w:r w:rsidRPr="00E21FA7">
        <w:rPr>
          <w:rFonts w:ascii="Courier New" w:eastAsia="Times New Roman" w:hAnsi="Courier New" w:cs="Courier New"/>
          <w:sz w:val="20"/>
          <w:szCs w:val="20"/>
          <w:lang w:eastAsia="en-IN"/>
        </w:rPr>
        <w:t>make</w:t>
      </w:r>
      <w:r w:rsidRPr="00E21FA7">
        <w:rPr>
          <w:rFonts w:ascii="Times New Roman" w:eastAsia="Times New Roman" w:hAnsi="Times New Roman" w:cs="Times New Roman"/>
          <w:sz w:val="20"/>
          <w:szCs w:val="20"/>
          <w:lang w:eastAsia="en-IN"/>
        </w:rPr>
        <w:t xml:space="preserve"> utility installed on your system before installing NIMBLE. (See Chapter 4 of the manual for platform-specific installation instructions.)</w:t>
      </w:r>
    </w:p>
    <w:p w14:paraId="08AAEDB9"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Pump Failure Model</w:t>
      </w:r>
    </w:p>
    <w:p w14:paraId="206E93C6"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Pump Failure model is discussed by George et al. in their 1993 paper: </w:t>
      </w:r>
      <w:hyperlink r:id="rId12" w:anchor="page_scan_tab_contents" w:tgtFrame="_blank" w:history="1">
        <w:r w:rsidRPr="00E21FA7">
          <w:rPr>
            <w:rFonts w:ascii="Times New Roman" w:eastAsia="Times New Roman" w:hAnsi="Times New Roman" w:cs="Times New Roman"/>
            <w:color w:val="0000FF"/>
            <w:sz w:val="20"/>
            <w:szCs w:val="20"/>
            <w:u w:val="single"/>
            <w:lang w:eastAsia="en-IN"/>
          </w:rPr>
          <w:t>Conjugate Likelihood Distributions</w:t>
        </w:r>
      </w:hyperlink>
      <w:r w:rsidRPr="00E21FA7">
        <w:rPr>
          <w:rFonts w:ascii="Times New Roman" w:eastAsia="Times New Roman" w:hAnsi="Times New Roman" w:cs="Times New Roman"/>
          <w:sz w:val="20"/>
          <w:szCs w:val="20"/>
          <w:lang w:eastAsia="en-IN"/>
        </w:rPr>
        <w:t xml:space="preserve">. The paper examines Bayesian models that use conjugate priors, but which do not have closed form solutions when prior distributions are associated with the hyperparameters.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solution of the problem is given </w:t>
      </w:r>
      <w:hyperlink r:id="rId13" w:tgtFrame="_blank" w:history="1">
        <w:r w:rsidRPr="00E21FA7">
          <w:rPr>
            <w:rFonts w:ascii="Times New Roman" w:eastAsia="Times New Roman" w:hAnsi="Times New Roman" w:cs="Times New Roman"/>
            <w:color w:val="0000FF"/>
            <w:sz w:val="20"/>
            <w:szCs w:val="20"/>
            <w:u w:val="single"/>
            <w:lang w:eastAsia="en-IN"/>
          </w:rPr>
          <w:t>here</w:t>
        </w:r>
      </w:hyperlink>
      <w:r w:rsidRPr="00E21FA7">
        <w:rPr>
          <w:rFonts w:ascii="Times New Roman" w:eastAsia="Times New Roman" w:hAnsi="Times New Roman" w:cs="Times New Roman"/>
          <w:sz w:val="20"/>
          <w:szCs w:val="20"/>
          <w:lang w:eastAsia="en-IN"/>
        </w:rPr>
        <w:t>.</w:t>
      </w:r>
    </w:p>
    <w:p w14:paraId="4D27C3E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 data driving the model are: </w:t>
      </w:r>
      <w:r w:rsidRPr="00E21FA7">
        <w:rPr>
          <w:rFonts w:ascii="Courier New" w:eastAsia="Times New Roman" w:hAnsi="Courier New" w:cs="Courier New"/>
          <w:sz w:val="20"/>
          <w:szCs w:val="20"/>
          <w:lang w:eastAsia="en-IN"/>
        </w:rPr>
        <w:t>x[i]</w:t>
      </w:r>
      <w:r w:rsidRPr="00E21FA7">
        <w:rPr>
          <w:rFonts w:ascii="Times New Roman" w:eastAsia="Times New Roman" w:hAnsi="Times New Roman" w:cs="Times New Roman"/>
          <w:sz w:val="20"/>
          <w:szCs w:val="20"/>
          <w:lang w:eastAsia="en-IN"/>
        </w:rPr>
        <w:t xml:space="preserve"> the number of failures for pump, </w:t>
      </w:r>
      <w:r w:rsidRPr="00E21FA7">
        <w:rPr>
          <w:rFonts w:ascii="Courier New" w:eastAsia="Times New Roman" w:hAnsi="Courier New" w:cs="Courier New"/>
          <w:sz w:val="20"/>
          <w:szCs w:val="20"/>
          <w:lang w:eastAsia="en-IN"/>
        </w:rPr>
        <w:t>i</w:t>
      </w:r>
      <w:r w:rsidRPr="00E21FA7">
        <w:rPr>
          <w:rFonts w:ascii="Times New Roman" w:eastAsia="Times New Roman" w:hAnsi="Times New Roman" w:cs="Times New Roman"/>
          <w:sz w:val="20"/>
          <w:szCs w:val="20"/>
          <w:lang w:eastAsia="en-IN"/>
        </w:rPr>
        <w:t xml:space="preserve"> in a time interval, </w:t>
      </w:r>
      <w:r w:rsidRPr="00E21FA7">
        <w:rPr>
          <w:rFonts w:ascii="Courier New" w:eastAsia="Times New Roman" w:hAnsi="Courier New" w:cs="Courier New"/>
          <w:sz w:val="20"/>
          <w:szCs w:val="20"/>
          <w:lang w:eastAsia="en-IN"/>
        </w:rPr>
        <w:t>t[i]</w:t>
      </w:r>
      <w:r w:rsidRPr="00E21FA7">
        <w:rPr>
          <w:rFonts w:ascii="Times New Roman" w:eastAsia="Times New Roman" w:hAnsi="Times New Roman" w:cs="Times New Roman"/>
          <w:sz w:val="20"/>
          <w:szCs w:val="20"/>
          <w:lang w:eastAsia="en-IN"/>
        </w:rPr>
        <w:t xml:space="preserve"> where </w:t>
      </w:r>
      <w:r w:rsidRPr="00E21FA7">
        <w:rPr>
          <w:rFonts w:ascii="Courier New" w:eastAsia="Times New Roman" w:hAnsi="Courier New" w:cs="Courier New"/>
          <w:sz w:val="20"/>
          <w:szCs w:val="20"/>
          <w:lang w:eastAsia="en-IN"/>
        </w:rPr>
        <w:t>i</w:t>
      </w:r>
      <w:r w:rsidRPr="00E21FA7">
        <w:rPr>
          <w:rFonts w:ascii="Times New Roman" w:eastAsia="Times New Roman" w:hAnsi="Times New Roman" w:cs="Times New Roman"/>
          <w:sz w:val="20"/>
          <w:szCs w:val="20"/>
          <w:lang w:eastAsia="en-IN"/>
        </w:rPr>
        <w:t xml:space="preserve"> goes from 1 to 10.</w:t>
      </w:r>
    </w:p>
    <w:p w14:paraId="099479B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library(nimble)</w:t>
      </w:r>
    </w:p>
    <w:p w14:paraId="200E762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library(igraph)</w:t>
      </w:r>
    </w:p>
    <w:p w14:paraId="65D704F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library(tidyverse)</w:t>
      </w:r>
    </w:p>
    <w:p w14:paraId="04E55E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46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pumpConsts &lt;- list(N = 10,</w:t>
      </w:r>
    </w:p>
    <w:p w14:paraId="1C45234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 = c(94.3, 15.7, 62.9, 126, 5.24,31.4, 1.05, 1.05, 2.1, 10.5))</w:t>
      </w:r>
    </w:p>
    <w:p w14:paraId="236841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4AC8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pumpData &lt;- list(x = c(5, 1, 5, 14, 3, 19, 1, 1, 4, 22))</w:t>
      </w:r>
    </w:p>
    <w:p w14:paraId="557A99C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Arrival times are a Poisson distribution with parameter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where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is itself modeled as a Gamma distribution with hyperparameters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w:t>
      </w:r>
    </w:p>
    <w:p w14:paraId="5B69EA5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 xml:space="preserve">The model is expressed in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language wrapped inside the NIMBLE function </w:t>
      </w:r>
      <w:r w:rsidRPr="00E21FA7">
        <w:rPr>
          <w:rFonts w:ascii="Courier New" w:eastAsia="Times New Roman" w:hAnsi="Courier New" w:cs="Courier New"/>
          <w:sz w:val="20"/>
          <w:szCs w:val="20"/>
          <w:lang w:eastAsia="en-IN"/>
        </w:rPr>
        <w:t>nimbleCode()</w:t>
      </w:r>
      <w:r w:rsidRPr="00E21FA7">
        <w:rPr>
          <w:rFonts w:ascii="Times New Roman" w:eastAsia="Times New Roman" w:hAnsi="Times New Roman" w:cs="Times New Roman"/>
          <w:sz w:val="20"/>
          <w:szCs w:val="20"/>
          <w:lang w:eastAsia="en-IN"/>
        </w:rPr>
        <w:t xml:space="preserve">, which turns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code into a object that can be operated on by </w:t>
      </w:r>
      <w:r w:rsidRPr="00E21FA7">
        <w:rPr>
          <w:rFonts w:ascii="Courier New" w:eastAsia="Times New Roman" w:hAnsi="Courier New" w:cs="Courier New"/>
          <w:sz w:val="20"/>
          <w:szCs w:val="20"/>
          <w:lang w:eastAsia="en-IN"/>
        </w:rPr>
        <w:t>nimbleModel()</w:t>
      </w:r>
    </w:p>
    <w:p w14:paraId="0950DC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pumpCode &lt;- nimbleCode(</w:t>
      </w:r>
    </w:p>
    <w:p w14:paraId="7E32CD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
    <w:p w14:paraId="7DF6467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for (i in 1:N){</w:t>
      </w:r>
    </w:p>
    <w:p w14:paraId="6BF9F44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theta[i] ~ dgamma(alpha,beta)</w:t>
      </w:r>
    </w:p>
    <w:p w14:paraId="6F1E53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lambda[i] &lt;- theta[i]*t[i]</w:t>
      </w:r>
    </w:p>
    <w:p w14:paraId="797B856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x[i] ~ dpois(lambda[i])</w:t>
      </w:r>
    </w:p>
    <w:p w14:paraId="12BAB87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w:t>
      </w:r>
    </w:p>
    <w:p w14:paraId="20443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 dexp(1.0)</w:t>
      </w:r>
    </w:p>
    <w:p w14:paraId="74665A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 dgamma(0.1,1.0)</w:t>
      </w:r>
    </w:p>
    <w:p w14:paraId="15B9FF5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85D2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65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pumpInits &lt;- list(alpha = 1, beta = 1,</w:t>
      </w:r>
    </w:p>
    <w:p w14:paraId="59E2B3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 = rep(0.1, pumpConsts$N))</w:t>
      </w:r>
    </w:p>
    <w:p w14:paraId="690D9981"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Courier New" w:eastAsia="Times New Roman" w:hAnsi="Courier New" w:cs="Courier New"/>
          <w:sz w:val="20"/>
          <w:szCs w:val="20"/>
          <w:lang w:eastAsia="en-IN"/>
        </w:rPr>
        <w:t>nimbleModel()</w:t>
      </w:r>
      <w:r w:rsidRPr="00E21FA7">
        <w:rPr>
          <w:rFonts w:ascii="Times New Roman" w:eastAsia="Times New Roman" w:hAnsi="Times New Roman" w:cs="Times New Roman"/>
          <w:sz w:val="20"/>
          <w:szCs w:val="20"/>
          <w:lang w:eastAsia="en-IN"/>
        </w:rPr>
        <w:t xml:space="preserve"> produces the model object that can be executed by </w:t>
      </w:r>
      <w:r w:rsidRPr="00E21FA7">
        <w:rPr>
          <w:rFonts w:ascii="Courier New" w:eastAsia="Times New Roman" w:hAnsi="Courier New" w:cs="Courier New"/>
          <w:sz w:val="20"/>
          <w:szCs w:val="20"/>
          <w:lang w:eastAsia="en-IN"/>
        </w:rPr>
        <w:t>R</w:t>
      </w:r>
      <w:r w:rsidRPr="00E21FA7">
        <w:rPr>
          <w:rFonts w:ascii="Times New Roman" w:eastAsia="Times New Roman" w:hAnsi="Times New Roman" w:cs="Times New Roman"/>
          <w:sz w:val="20"/>
          <w:szCs w:val="20"/>
          <w:lang w:eastAsia="en-IN"/>
        </w:rPr>
        <w:t xml:space="preserve"> or compiled.</w:t>
      </w:r>
    </w:p>
    <w:p w14:paraId="49C6DFC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 &lt;- nimbleModel(code = pumpCode, name = "pump", constants = pumpConsts,</w:t>
      </w:r>
    </w:p>
    <w:p w14:paraId="6D8491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pumpData, inits = pumpInits)</w:t>
      </w:r>
    </w:p>
    <w:p w14:paraId="11D1363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following command lets us look at the nodes that comprise the model’s directed graph, and plot it.</w:t>
      </w:r>
    </w:p>
    <w:p w14:paraId="22192A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pump$getNodeNames()</w:t>
      </w:r>
    </w:p>
    <w:p w14:paraId="3A72FC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"alpha"               "beta"                "lifted_d1_over_beta"</w:t>
      </w:r>
    </w:p>
    <w:p w14:paraId="683B54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[4] "theta[1]"            "theta[2]"            "theta[3]"           </w:t>
      </w:r>
    </w:p>
    <w:p w14:paraId="4727DE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"theta[4]"            "theta[5]"            "theta[6]"           </w:t>
      </w:r>
    </w:p>
    <w:p w14:paraId="5F9915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[10] "theta[7]"            "theta[8]"            "theta[9]"           </w:t>
      </w:r>
    </w:p>
    <w:p w14:paraId="0ED456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[13] "theta[10]"           "lambda[1]"           "lambda[2]"          </w:t>
      </w:r>
    </w:p>
    <w:p w14:paraId="031349D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[16] "lambda[3]"           "lambda[4]"           "lambda[5]"          </w:t>
      </w:r>
    </w:p>
    <w:p w14:paraId="1604CCF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[19] "lambda[6]"           "lambda[7]"           "lambda[8]"          </w:t>
      </w:r>
    </w:p>
    <w:p w14:paraId="513816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[22] "lambda[9]"           "lambda[10]"          "x[1]"               </w:t>
      </w:r>
    </w:p>
    <w:p w14:paraId="6FBE0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[25] "x[2]"                "x[3]"                "x[4]"               </w:t>
      </w:r>
    </w:p>
    <w:p w14:paraId="690798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[28] "x[5]"                "x[6]"                "x[7]"               </w:t>
      </w:r>
    </w:p>
    <w:p w14:paraId="637E75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[31] "x[8]"                "x[9]"                "x[10]"              </w:t>
      </w:r>
    </w:p>
    <w:p w14:paraId="057808D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pump$plotGraph()</w:t>
      </w:r>
    </w:p>
    <w:p w14:paraId="68F7DB8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513222C7" wp14:editId="0B6D1C9D">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7AD7F1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 xml:space="preserve">We can look at the values stored at each node. The node for </w:t>
      </w:r>
      <w:r w:rsidRPr="00E21FA7">
        <w:rPr>
          <w:rFonts w:ascii="Courier New" w:eastAsia="Times New Roman" w:hAnsi="Courier New" w:cs="Courier New"/>
          <w:sz w:val="20"/>
          <w:szCs w:val="20"/>
          <w:lang w:eastAsia="en-IN"/>
        </w:rPr>
        <w:t>x</w:t>
      </w:r>
      <w:r w:rsidRPr="00E21FA7">
        <w:rPr>
          <w:rFonts w:ascii="Times New Roman" w:eastAsia="Times New Roman" w:hAnsi="Times New Roman" w:cs="Times New Roman"/>
          <w:sz w:val="20"/>
          <w:szCs w:val="20"/>
          <w:lang w:eastAsia="en-IN"/>
        </w:rPr>
        <w:t xml:space="preserve"> contains the initial values we entered into the model and the nodes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contain the initial calculated values</w:t>
      </w:r>
    </w:p>
    <w:p w14:paraId="25F1864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pump$x</w:t>
      </w:r>
    </w:p>
    <w:p w14:paraId="3DB8FB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5  1  5 14  3 19  1  1  4 22</w:t>
      </w:r>
    </w:p>
    <w:p w14:paraId="7C822B7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pump$theta</w:t>
      </w:r>
    </w:p>
    <w:p w14:paraId="28C9F6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 0.1 0.1 0.1 0.1 0.1 0.1 0.1 0.1 0.1</w:t>
      </w:r>
    </w:p>
    <w:p w14:paraId="66F0522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pump$lambda</w:t>
      </w:r>
    </w:p>
    <w:p w14:paraId="2C8D1D7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9.430  1.570  6.290 12.600  0.524  3.140  0.105  0.105  0.210  1.050</w:t>
      </w:r>
    </w:p>
    <w:p w14:paraId="3CB0B3B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can also look at the log probabilities of the likelihoods.</w:t>
      </w:r>
    </w:p>
    <w:p w14:paraId="61EAC6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pump$logProb_x</w:t>
      </w:r>
    </w:p>
    <w:p w14:paraId="06DA5C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-2.998011  -1.118924  -1.882686  -2.319466  -4.254550 -20.739651</w:t>
      </w:r>
    </w:p>
    <w:p w14:paraId="021F52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-2.358795  -2.358795  -9.630645 -48.447798</w:t>
      </w:r>
    </w:p>
    <w:p w14:paraId="06AD723D"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Next, we use the model to simulate new values for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update the variables.</w:t>
      </w:r>
    </w:p>
    <w:p w14:paraId="470451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set.seed(1)</w:t>
      </w:r>
    </w:p>
    <w:p w14:paraId="0BAFB7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pump$simulate("theta")</w:t>
      </w:r>
    </w:p>
    <w:p w14:paraId="6F2CFC4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pump$theta</w:t>
      </w:r>
    </w:p>
    <w:p w14:paraId="2BD771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03268A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789899A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These new values will, of course, lead to new values of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and the log probabilities.</w:t>
      </w:r>
    </w:p>
    <w:p w14:paraId="114AE49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pump$lambda</w:t>
      </w:r>
    </w:p>
    <w:p w14:paraId="01309F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9.430  1.570  6.290 12.600  0.524  3.140  0.105  0.105  0.210  1.050</w:t>
      </w:r>
    </w:p>
    <w:p w14:paraId="41514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pump$logProb_x</w:t>
      </w:r>
    </w:p>
    <w:p w14:paraId="66852B6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-2.998011  -1.118924  -1.882686  -2.319466  -4.254550 -20.739651</w:t>
      </w:r>
    </w:p>
    <w:p w14:paraId="1DDFB9E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-2.358795  -2.358795  -9.630645 -48.447798</w:t>
      </w:r>
    </w:p>
    <w:p w14:paraId="2AEBD3CC"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can also be compiled. The C++ code generated is loaded back into R with an object that can be examined like the uncompiled model.</w:t>
      </w:r>
    </w:p>
    <w:p w14:paraId="3428FCC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Cpump &lt;- compileNimble(pump)</w:t>
      </w:r>
    </w:p>
    <w:p w14:paraId="2375EC3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Cpump$theta</w:t>
      </w:r>
    </w:p>
    <w:p w14:paraId="7DF4650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[1] 0.15514136 1.88240160 1.80451250 0.83617765 1.22254365 1.15835525</w:t>
      </w:r>
    </w:p>
    <w:p w14:paraId="23D4B65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[7] 0.99001994 0.30737332 0.09461909 0.15720154</w:t>
      </w:r>
    </w:p>
    <w:p w14:paraId="326386DD" w14:textId="50A68B7F"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Note that since a wide variety of NIMBLE models can be compiled, NIMBLE should be generally useful for developing production R code</w:t>
      </w:r>
      <w:r w:rsidR="002B30FE">
        <w:rPr>
          <w:rFonts w:ascii="Times New Roman" w:eastAsia="Times New Roman" w:hAnsi="Times New Roman" w:cs="Times New Roman"/>
          <w:sz w:val="20"/>
          <w:szCs w:val="20"/>
          <w:lang w:eastAsia="en-IN"/>
        </w:rPr>
        <w:t>.</w:t>
      </w:r>
    </w:p>
    <w:p w14:paraId="2F3997AA" w14:textId="77777777" w:rsidR="00E21FA7" w:rsidRPr="00E21FA7" w:rsidRDefault="00E21FA7" w:rsidP="00E21FA7">
      <w:pPr>
        <w:spacing w:after="0"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lastRenderedPageBreak/>
        <w:drawing>
          <wp:inline distT="0" distB="0" distL="0" distR="0" wp14:anchorId="73EF7139" wp14:editId="43D78EC5">
            <wp:extent cx="43434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322320"/>
                    </a:xfrm>
                    <a:prstGeom prst="rect">
                      <a:avLst/>
                    </a:prstGeom>
                    <a:noFill/>
                    <a:ln>
                      <a:noFill/>
                    </a:ln>
                  </pic:spPr>
                </pic:pic>
              </a:graphicData>
            </a:graphic>
          </wp:inline>
        </w:drawing>
      </w:r>
    </w:p>
    <w:p w14:paraId="4F7C244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Next, the default NIMBLE MCMC algorithm is used to generate posterior samples from the distributions for the model parameters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w:t>
      </w:r>
      <w:r w:rsidRPr="00E21FA7">
        <w:rPr>
          <w:rFonts w:ascii="Courier New" w:eastAsia="Times New Roman" w:hAnsi="Courier New" w:cs="Courier New"/>
          <w:sz w:val="20"/>
          <w:szCs w:val="20"/>
          <w:lang w:eastAsia="en-IN"/>
        </w:rPr>
        <w:t>theta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lambda</w:t>
      </w:r>
      <w:r w:rsidRPr="00E21FA7">
        <w:rPr>
          <w:rFonts w:ascii="Times New Roman" w:eastAsia="Times New Roman" w:hAnsi="Times New Roman" w:cs="Times New Roman"/>
          <w:sz w:val="20"/>
          <w:szCs w:val="20"/>
          <w:lang w:eastAsia="en-IN"/>
        </w:rPr>
        <w:t xml:space="preserve">, along with summary statistics and the value of Wantanabi’s </w:t>
      </w:r>
      <w:hyperlink r:id="rId16" w:tgtFrame="_blank" w:history="1">
        <w:r w:rsidRPr="00E21FA7">
          <w:rPr>
            <w:rFonts w:ascii="Times New Roman" w:eastAsia="Times New Roman" w:hAnsi="Times New Roman" w:cs="Times New Roman"/>
            <w:color w:val="0000FF"/>
            <w:sz w:val="20"/>
            <w:szCs w:val="20"/>
            <w:u w:val="single"/>
            <w:lang w:eastAsia="en-IN"/>
          </w:rPr>
          <w:t>WAIC</w:t>
        </w:r>
      </w:hyperlink>
      <w:r w:rsidRPr="00E21FA7">
        <w:rPr>
          <w:rFonts w:ascii="Times New Roman" w:eastAsia="Times New Roman" w:hAnsi="Times New Roman" w:cs="Times New Roman"/>
          <w:sz w:val="20"/>
          <w:szCs w:val="20"/>
          <w:lang w:eastAsia="en-IN"/>
        </w:rPr>
        <w:t xml:space="preserve"> statistic.</w:t>
      </w:r>
    </w:p>
    <w:p w14:paraId="6887C7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 &lt;- nimbleMCMC(code = pumpCode, constants = pumpConsts,</w:t>
      </w:r>
    </w:p>
    <w:p w14:paraId="3BEE03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data = pumpData, inits = pumpInits,</w:t>
      </w:r>
    </w:p>
    <w:p w14:paraId="34F970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monitors=c("alpha","beta","theta","lambda"),</w:t>
      </w:r>
    </w:p>
    <w:p w14:paraId="6061CF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nchains = 2, niter = 10000,</w:t>
      </w:r>
    </w:p>
    <w:p w14:paraId="2369639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1D1D4FE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8DFF9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A924A8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942B3C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EF7A7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names(mcmc.out)</w:t>
      </w:r>
    </w:p>
    <w:p w14:paraId="3DEB04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[1] "samples" "summary" "WAIC"   </w:t>
      </w:r>
    </w:p>
    <w:p w14:paraId="7C1F6D2F"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The model object contains a summary of the model,</w:t>
      </w:r>
    </w:p>
    <w:p w14:paraId="5CACAC7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mcmc.out$summary</w:t>
      </w:r>
    </w:p>
    <w:p w14:paraId="67605B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$chain1</w:t>
      </w:r>
    </w:p>
    <w:p w14:paraId="769E09B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27E70F1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0.69804352  0.65835063 0.27037676  0.287898244  1.3140461</w:t>
      </w:r>
    </w:p>
    <w:p w14:paraId="663AB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0.92862598  0.82156847 0.54969128  0.183699137  2.2872696</w:t>
      </w:r>
    </w:p>
    <w:p w14:paraId="74A38B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5.67617535  5.35277649 2.39989346  1.986896247 11.3087435</w:t>
      </w:r>
    </w:p>
    <w:p w14:paraId="4127FD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1.59476464  1.28802618 1.24109695  0.126649837  4.7635134</w:t>
      </w:r>
    </w:p>
    <w:p w14:paraId="3644812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5.58222072  5.28139948 2.36539331  1.961659802 11.1331869</w:t>
      </w:r>
    </w:p>
    <w:p w14:paraId="7D1A8C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14.57540796 14.23984600 3.79587390  8.085538041 22.9890092</w:t>
      </w:r>
    </w:p>
    <w:p w14:paraId="7E846F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3.16402849  2.87859865 1.63590766  0.836991007  7.1477641</w:t>
      </w:r>
    </w:p>
    <w:p w14:paraId="39C8070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19.21831706 18.86685281 4.33423677 11.703168568 28.6847447</w:t>
      </w:r>
    </w:p>
    <w:p w14:paraId="49C3AA6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0.94776605  0.74343559 0.77658191  0.077828283  2.8978174</w:t>
      </w:r>
    </w:p>
    <w:p w14:paraId="726E31F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0.93472103  0.74313533 0.76301563  0.076199581  2.9598715</w:t>
      </w:r>
    </w:p>
    <w:p w14:paraId="087F18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3.31124086  3.03219017 1.61332897  0.955909813  7.2024472</w:t>
      </w:r>
    </w:p>
    <w:p w14:paraId="0EC8F1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20.89018329 20.59798130 4.45302924 13.034529765 30.4628012</w:t>
      </w:r>
    </w:p>
    <w:p w14:paraId="4DEF11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0.06019274  0.05676327 0.02544956  0.021069950  0.1199230</w:t>
      </w:r>
    </w:p>
    <w:p w14:paraId="67753D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0.10157737  0.08203988 0.07905076  0.008066869  0.3034085</w:t>
      </w:r>
    </w:p>
    <w:p w14:paraId="17CE105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0.08874755  0.08396502 0.03760562  0.031186960  0.1769982</w:t>
      </w:r>
    </w:p>
    <w:p w14:paraId="5755B88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theta[4]    0.11567784  0.11301465 0.03012598  0.064170937  0.1824525</w:t>
      </w:r>
    </w:p>
    <w:p w14:paraId="0E9565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0.60382223  0.54935089 0.31219612  0.159731108  1.3640771</w:t>
      </w:r>
    </w:p>
    <w:p w14:paraId="145BBB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0.61204831  0.60085518 0.13803302  0.372712375  0.9135269</w:t>
      </w:r>
    </w:p>
    <w:p w14:paraId="1E461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0.90263434  0.70803389 0.73960182  0.074122175  2.7598261</w:t>
      </w:r>
    </w:p>
    <w:p w14:paraId="0277E1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0.89021051  0.70774794 0.72668155  0.072571029  2.8189252</w:t>
      </w:r>
    </w:p>
    <w:p w14:paraId="4C20932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1.57678136  1.44390008 0.76825189  0.455195149  3.4297368</w:t>
      </w:r>
    </w:p>
    <w:p w14:paraId="18BB38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1.98954127  1.96171250 0.42409802  1.241383787  2.9012192</w:t>
      </w:r>
    </w:p>
    <w:p w14:paraId="6182198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A51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27BBF0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6FF6ED4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0.69101961  0.65803654 0.26548378  0.277195564  1.2858148</w:t>
      </w:r>
    </w:p>
    <w:p w14:paraId="6EF8F8A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0.91627273  0.81434426 0.53750825  0.185772263  2.2702428</w:t>
      </w:r>
    </w:p>
    <w:p w14:paraId="6069273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5.59893463  5.29143956 2.32153991  1.976164994 10.9564380</w:t>
      </w:r>
    </w:p>
    <w:p w14:paraId="3D125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1.57278293  1.27425268 1.23323878  0.129781580  4.7262566</w:t>
      </w:r>
    </w:p>
    <w:p w14:paraId="04269B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5.60321125  5.27780200 2.32992322  1.970709123 10.9249502</w:t>
      </w:r>
    </w:p>
    <w:p w14:paraId="5818C33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14.60674094 14.30971897 3.86145332  8.013012004 23.0526313</w:t>
      </w:r>
    </w:p>
    <w:p w14:paraId="490599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3.13119513  2.84685917 1.67006926  0.782262325  7.2043337</w:t>
      </w:r>
    </w:p>
    <w:p w14:paraId="76E932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19.17917926 18.82326155 4.33456380 11.661139736 28.5655803</w:t>
      </w:r>
    </w:p>
    <w:p w14:paraId="6B4C9FD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0.94397897  0.74446578 0.76576887  0.080055678  2.8813517</w:t>
      </w:r>
    </w:p>
    <w:p w14:paraId="759D5FB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0.94452324  0.74263433 0.77013200  0.074813473  2.9457364</w:t>
      </w:r>
    </w:p>
    <w:p w14:paraId="316DAA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3.30813061  3.04512049 1.58008544  0.986914665  7.0355869</w:t>
      </w:r>
    </w:p>
    <w:p w14:paraId="5725565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20.88570471 20.60384141 4.44130984 13.092562597 30.5574424</w:t>
      </w:r>
    </w:p>
    <w:p w14:paraId="4E6DF59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0.05937364  0.05611283 0.02461866  0.020956151  0.1161870</w:t>
      </w:r>
    </w:p>
    <w:p w14:paraId="6B744F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0.10017726  0.08116259 0.07855024  0.008266343  0.3010355</w:t>
      </w:r>
    </w:p>
    <w:p w14:paraId="6823FF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0.08908126  0.08390782 0.03704170  0.031330829  0.1736876</w:t>
      </w:r>
    </w:p>
    <w:p w14:paraId="4807AC3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0.11592652  0.11356920 0.03064645  0.063595333  0.1829574</w:t>
      </w:r>
    </w:p>
    <w:p w14:paraId="696653E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0.59755632  0.54329373 0.31871551  0.149286703  1.3748728</w:t>
      </w:r>
    </w:p>
    <w:p w14:paraId="15ADBF4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0.61080189  0.59946693 0.13804343  0.371373877  0.9097319</w:t>
      </w:r>
    </w:p>
    <w:p w14:paraId="458FD2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0.89902759  0.70901502 0.72930369  0.076243503  2.7441445</w:t>
      </w:r>
    </w:p>
    <w:p w14:paraId="3978F1B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0.89954594  0.70727079 0.73345905  0.071250926  2.8054633</w:t>
      </w:r>
    </w:p>
    <w:p w14:paraId="6FDEDD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1.57530029  1.45005738 0.75242164  0.469959364  3.3502795</w:t>
      </w:r>
    </w:p>
    <w:p w14:paraId="53E0173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1.98911473  1.96227061 0.42298189  1.246910723  2.9102326</w:t>
      </w:r>
    </w:p>
    <w:p w14:paraId="56E7D41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FCC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$all.chains</w:t>
      </w:r>
    </w:p>
    <w:p w14:paraId="5705A3D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0E6B30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0.69453156  0.65803654 0.26795776  0.28329854  1.2999319</w:t>
      </w:r>
    </w:p>
    <w:p w14:paraId="413F871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0.92244935  0.81828160 0.54365539  0.18549077  2.2785444</w:t>
      </w:r>
    </w:p>
    <w:p w14:paraId="3D2EB5F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5.63755499  5.32462511 2.36129857  1.98294712 11.1597721</w:t>
      </w:r>
    </w:p>
    <w:p w14:paraId="440827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1.58377379  1.28149065 1.23719199  0.12734396  4.7382079</w:t>
      </w:r>
    </w:p>
    <w:p w14:paraId="07D62C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5.59271599  5.28024565 2.34769002  1.96451069 11.0072923</w:t>
      </w:r>
    </w:p>
    <w:p w14:paraId="3E825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14.59107445 14.27080924 3.82874035  8.04541916 23.0250158</w:t>
      </w:r>
    </w:p>
    <w:p w14:paraId="2846D6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3.14761181  2.86460377 1.65311690  0.80506062  7.1718837</w:t>
      </w:r>
    </w:p>
    <w:p w14:paraId="409802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19.19874816 18.84484055 4.33433610 11.68198222 28.6445471</w:t>
      </w:r>
    </w:p>
    <w:p w14:paraId="22B5AF8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0.94587251  0.74395440 0.77117739  0.07927988  2.8911629</w:t>
      </w:r>
    </w:p>
    <w:p w14:paraId="2F1B3E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0.93962214  0.74299160 0.76657858  0.07571751  2.9470742</w:t>
      </w:r>
    </w:p>
    <w:p w14:paraId="432F511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3.30968573  3.03910484 1.59675456  0.97386482  7.1120082</w:t>
      </w:r>
    </w:p>
    <w:p w14:paraId="0947FD7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20.88794400 20.60051118 4.44706278 13.05509616 30.5216406</w:t>
      </w:r>
    </w:p>
    <w:p w14:paraId="29D4551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0.05978319  0.05646474 0.02504028  0.02102807  0.1183433</w:t>
      </w:r>
    </w:p>
    <w:p w14:paraId="51D215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0.10087731  0.08162361 0.07880204  0.00811108  0.3017967</w:t>
      </w:r>
    </w:p>
    <w:p w14:paraId="039FD72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0.08891440  0.08394667 0.03732417  0.03123228  0.1749967</w:t>
      </w:r>
    </w:p>
    <w:p w14:paraId="260DB38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0.11580218  0.11326039 0.03038683  0.06385253  0.1827382</w:t>
      </w:r>
    </w:p>
    <w:p w14:paraId="76AD43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0.60068928  0.54668011 0.31548032  0.15363752  1.3686801</w:t>
      </w:r>
    </w:p>
    <w:p w14:paraId="6FFE5A9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0.61142510  0.60015416 0.13803618  0.37203765  0.9122467</w:t>
      </w:r>
    </w:p>
    <w:p w14:paraId="0BE747C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0.90083096  0.70852800 0.73445465  0.07550465  2.7534885</w:t>
      </w:r>
    </w:p>
    <w:p w14:paraId="42B951D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0.89487822  0.70761105 0.73007484  0.07211191  2.8067373</w:t>
      </w:r>
    </w:p>
    <w:p w14:paraId="5A84A56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1.57604083  1.44719278 0.76035931  0.46374515  3.3866706</w:t>
      </w:r>
    </w:p>
    <w:p w14:paraId="2DCB33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1.98932800  1.96195345 0.42352979  1.24334249  2.9068229</w:t>
      </w:r>
    </w:p>
    <w:p w14:paraId="67711A4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and the value of the WAIC statistic.</w:t>
      </w:r>
    </w:p>
    <w:p w14:paraId="790A49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mcmc.out$WAI</w:t>
      </w:r>
    </w:p>
    <w:p w14:paraId="1ABA10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[1] 48.69896</w:t>
      </w:r>
    </w:p>
    <w:p w14:paraId="6F077DA5"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Here, we select sample values for the parameters for pump 1 in the first chain, and put them into a data frame for plotting.</w:t>
      </w:r>
    </w:p>
    <w:p w14:paraId="0D6C0D7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df &lt;- data.frame(mcmc.out$samples$chain1)</w:t>
      </w:r>
    </w:p>
    <w:p w14:paraId="054E59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df_l &lt;- df %&gt;% select(alpha, beta, theta.1., lambda.1.) %&gt;% gather(key="parameter", value="value")</w:t>
      </w:r>
    </w:p>
    <w:p w14:paraId="29D1AB4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We plot the sample values.</w:t>
      </w:r>
    </w:p>
    <w:p w14:paraId="6BA41C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ps &lt;- df_l %&gt;% ggplot(aes(x=seq_along(value), y = value)) + geom_line()</w:t>
      </w:r>
    </w:p>
    <w:p w14:paraId="11E661A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ps + facet_wrap(~parameter, scales = "free")</w:t>
      </w:r>
    </w:p>
    <w:p w14:paraId="4E3DD109"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drawing>
          <wp:inline distT="0" distB="0" distL="0" distR="0" wp14:anchorId="3F8CE72B" wp14:editId="1B8D4107">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E21FA7">
        <w:rPr>
          <w:rFonts w:ascii="Times New Roman" w:eastAsia="Times New Roman" w:hAnsi="Times New Roman" w:cs="Times New Roman"/>
          <w:sz w:val="20"/>
          <w:szCs w:val="20"/>
          <w:lang w:eastAsia="en-IN"/>
        </w:rPr>
        <w:t>And, we plot histograms.</w:t>
      </w:r>
    </w:p>
    <w:p w14:paraId="3489200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 &lt;- ggplot(df_l,aes(value)) + geom_histogram(aes( y= ..density..),bins = 60) </w:t>
      </w:r>
    </w:p>
    <w:p w14:paraId="0B9EC3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 + facet_wrap(~parameter, scales = "free")</w:t>
      </w:r>
    </w:p>
    <w:p w14:paraId="64D104F7"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noProof/>
          <w:sz w:val="20"/>
          <w:szCs w:val="20"/>
          <w:lang w:eastAsia="en-IN"/>
        </w:rPr>
        <w:lastRenderedPageBreak/>
        <w:drawing>
          <wp:inline distT="0" distB="0" distL="0" distR="0" wp14:anchorId="15046C4F" wp14:editId="65BBC01B">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1B86BF2"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Note that it is also possible to perform the MCMC simulation using the compiled model.</w:t>
      </w:r>
    </w:p>
    <w:p w14:paraId="5B11F2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mcmc.out_c&lt;- nimbleMCMC(model=Cpump,</w:t>
      </w:r>
    </w:p>
    <w:p w14:paraId="5A84FC0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monitors=c("alpha","beta","theta","lambda"),</w:t>
      </w:r>
    </w:p>
    <w:p w14:paraId="3AC52A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nchains = 2, niter = 10000,</w:t>
      </w:r>
    </w:p>
    <w:p w14:paraId="3908C6C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summary = TRUE, WAIC = TRUE)</w:t>
      </w:r>
    </w:p>
    <w:p w14:paraId="20BEB0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E7BD5D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C8B15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1473A1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48C00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mcmc.out_c$summary</w:t>
      </w:r>
    </w:p>
    <w:p w14:paraId="79F797C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$chain1</w:t>
      </w:r>
    </w:p>
    <w:p w14:paraId="2A858D0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607FE4C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0.70269965  0.65474666 0.27690796  0.288871669  1.3525877</w:t>
      </w:r>
    </w:p>
    <w:p w14:paraId="2578E9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0.92892181  0.82320341 0.54874194  0.186215812  2.2756643</w:t>
      </w:r>
    </w:p>
    <w:p w14:paraId="2A9F14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5.65646492  5.32568604 2.38108302  1.991839453 11.1329833</w:t>
      </w:r>
    </w:p>
    <w:p w14:paraId="33DB69F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1.58848917  1.28392445 1.25676948  0.133001650  4.7163618</w:t>
      </w:r>
    </w:p>
    <w:p w14:paraId="037C79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5.62720720  5.30681963 2.36776285  1.986194548 11.1264464</w:t>
      </w:r>
    </w:p>
    <w:p w14:paraId="594099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14.61256770 14.29447077 3.75584085  8.106535985 22.8405075</w:t>
      </w:r>
    </w:p>
    <w:p w14:paraId="1E5CC0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3.16521167  2.88771869 1.65132178  0.785161558  7.0181185</w:t>
      </w:r>
    </w:p>
    <w:p w14:paraId="673FC49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19.12824948 18.77541823 4.27045427 11.733960316 28.4815908</w:t>
      </w:r>
    </w:p>
    <w:p w14:paraId="14653B2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0.94353548  0.75312906 0.75111813  0.079570796  2.8410369</w:t>
      </w:r>
    </w:p>
    <w:p w14:paraId="0A9B3BC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0.93661525  0.74764821 0.75397145  0.078424425  2.8536890</w:t>
      </w:r>
    </w:p>
    <w:p w14:paraId="00504D3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3.33178422  3.05974419 1.63035789  1.019006182  7.3163945</w:t>
      </w:r>
    </w:p>
    <w:p w14:paraId="23AF9C6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20.90388784 20.58355995 4.45456152 12.997984788 30.2815949</w:t>
      </w:r>
    </w:p>
    <w:p w14:paraId="2310490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0.05998372  0.05647599 0.02525009  0.021122370  0.1180592</w:t>
      </w:r>
    </w:p>
    <w:p w14:paraId="42CE747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0.10117765  0.08177863 0.08004901  0.008471443  0.3004052</w:t>
      </w:r>
    </w:p>
    <w:p w14:paraId="055630A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0.08946275  0.08436915 0.03764329  0.031577020  0.1768910</w:t>
      </w:r>
    </w:p>
    <w:p w14:paraId="5694439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0.11597276  0.11344818 0.02980826  0.064337587  0.1812739</w:t>
      </w:r>
    </w:p>
    <w:p w14:paraId="10F1CD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0.60404803  0.55109135 0.31513774  0.149839992  1.3393356</w:t>
      </w:r>
    </w:p>
    <w:p w14:paraId="275433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0.60917992  0.59794326 0.13600173  0.373693004  0.9070570</w:t>
      </w:r>
    </w:p>
    <w:p w14:paraId="6442F66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0.89860522  0.71726577 0.71535060  0.075781711  2.7057495</w:t>
      </w:r>
    </w:p>
    <w:p w14:paraId="77F3F78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0.89201452  0.71204591 0.71806805  0.074689928  2.7177991</w:t>
      </w:r>
    </w:p>
    <w:p w14:paraId="656AF62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1.58656391  1.45702104 0.77636090  0.485241039  3.4839974</w:t>
      </w:r>
    </w:p>
    <w:p w14:paraId="53719AA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1.99084646  1.96033904 0.42424395  1.237903313  2.8839614</w:t>
      </w:r>
    </w:p>
    <w:p w14:paraId="484778E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6D7A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$chain2</w:t>
      </w:r>
    </w:p>
    <w:p w14:paraId="30BC7E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4A3EBAA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lastRenderedPageBreak/>
        <w:t>alpha       0.70184646  0.65773527 0.27237859  0.297108329  1.3420954</w:t>
      </w:r>
    </w:p>
    <w:p w14:paraId="638AB71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0.92323539  0.82124257 0.53880496  0.194879601  2.2590201</w:t>
      </w:r>
    </w:p>
    <w:p w14:paraId="5B9F9A57"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5.59702813  5.25201276 2.35832632  2.029382518 10.9327321</w:t>
      </w:r>
    </w:p>
    <w:p w14:paraId="14F0EE6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1.62105397  1.31199418 1.26269004  0.137977536  4.8652461</w:t>
      </w:r>
    </w:p>
    <w:p w14:paraId="79F67D0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5.62874314  5.33611797 2.37576774  1.953756972 11.1296452</w:t>
      </w:r>
    </w:p>
    <w:p w14:paraId="00270AF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14.53507135 14.22210300 3.84823087  8.042950272 22.9287741</w:t>
      </w:r>
    </w:p>
    <w:p w14:paraId="74DCCA7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3.17647361  2.88816158 1.67257096  0.807468793  7.2500264</w:t>
      </w:r>
    </w:p>
    <w:p w14:paraId="555154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19.13576117 18.82011366 4.34294395 11.646448559 28.4716352</w:t>
      </w:r>
    </w:p>
    <w:p w14:paraId="2C1F318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0.94656373  0.74705570 0.76192793  0.084445304  2.9245815</w:t>
      </w:r>
    </w:p>
    <w:p w14:paraId="43BCFB6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0.94754678  0.75725106 0.75136514  0.083985118  2.8740656</w:t>
      </w:r>
    </w:p>
    <w:p w14:paraId="4404E6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3.34514300  3.04989975 1.64818642  0.974288761  7.2961225</w:t>
      </w:r>
    </w:p>
    <w:p w14:paraId="0B1AC88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20.97154230 20.61713159 4.45405753 13.260753885 30.5614115</w:t>
      </w:r>
    </w:p>
    <w:p w14:paraId="1D8C3EC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0.05935343  0.05569473 0.02500876  0.021520493  0.1159357</w:t>
      </w:r>
    </w:p>
    <w:p w14:paraId="28525B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0.10325185  0.08356651 0.08042612  0.008788378  0.3098883</w:t>
      </w:r>
    </w:p>
    <w:p w14:paraId="7A8DF2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0.08948717  0.08483494 0.03777055  0.031061319  0.1769419</w:t>
      </w:r>
    </w:p>
    <w:p w14:paraId="32A5BB9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0.11535771  0.11287383 0.03054151  0.063832939  0.1819744</w:t>
      </w:r>
    </w:p>
    <w:p w14:paraId="1B1B3B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0.60619725  0.55117587 0.31919293  0.154097098  1.3835928</w:t>
      </w:r>
    </w:p>
    <w:p w14:paraId="7EBAB9B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0.60941915  0.59936668 0.13831032  0.370906005  0.9067400</w:t>
      </w:r>
    </w:p>
    <w:p w14:paraId="5C7479E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0.90148927  0.71148162 0.72564565  0.080424099  2.7853158</w:t>
      </w:r>
    </w:p>
    <w:p w14:paraId="7B76531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0.90242550  0.72119149 0.71558585  0.079985826  2.7372053</w:t>
      </w:r>
    </w:p>
    <w:p w14:paraId="055E529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1.59292524  1.45233321 0.78485068  0.463947029  3.4743440</w:t>
      </w:r>
    </w:p>
    <w:p w14:paraId="0E93AF19"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1.99728974  1.96353634 0.42419596  1.262928941  2.9106106</w:t>
      </w:r>
    </w:p>
    <w:p w14:paraId="52B0FAB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E435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$all.chains</w:t>
      </w:r>
    </w:p>
    <w:p w14:paraId="6EBB830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Mean      Median    St.Dev.    95%CI_low  95%CI_upp</w:t>
      </w:r>
    </w:p>
    <w:p w14:paraId="2A9DA1F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alpha       0.70227305  0.65580594 0.27464608  0.292312894  1.3489184</w:t>
      </w:r>
    </w:p>
    <w:p w14:paraId="7C5C65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beta        0.92607860  0.82237274 0.54378998  0.191611561  2.2684771</w:t>
      </w:r>
    </w:p>
    <w:p w14:paraId="7F9C18D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   5.62674653  5.28611334 2.36985910  2.007150471 11.0415843</w:t>
      </w:r>
    </w:p>
    <w:p w14:paraId="227156D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lambda[2]   1.60477157  1.29777398 1.25980697  0.135465213  4.8015059</w:t>
      </w:r>
    </w:p>
    <w:p w14:paraId="711DE14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lambda[3]   5.62797517  5.32327502 2.37170950  1.967656654 11.1291530</w:t>
      </w:r>
    </w:p>
    <w:p w14:paraId="22594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lambda[4]  14.57381952 14.26247905 3.80241886  8.071801955 22.9002186</w:t>
      </w:r>
    </w:p>
    <w:p w14:paraId="57066FE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lambda[5]   3.17084264  2.88801833 1.66194832  0.798927322  7.1492800</w:t>
      </w:r>
    </w:p>
    <w:p w14:paraId="2D00647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lambda[6]  19.13200533 18.78653361 4.30674559 11.682136284 28.4767857</w:t>
      </w:r>
    </w:p>
    <w:p w14:paraId="0319DC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lambda[7]   0.94504960  0.75003915 0.75652494  0.081865294  2.8859048</w:t>
      </w:r>
    </w:p>
    <w:p w14:paraId="123C56F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lambda[8]   0.94208101  0.75177975 0.75267045  0.080734142  2.8644982</w:t>
      </w:r>
    </w:p>
    <w:p w14:paraId="2FE051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lambda[9]   3.33846361  3.05488924 1.63926902  0.990402148  7.3041714</w:t>
      </w:r>
    </w:p>
    <w:p w14:paraId="4B9A75E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lambda[10] 20.93771507 20.60497943 4.45432662 13.116940079 30.4162660</w:t>
      </w:r>
    </w:p>
    <w:p w14:paraId="7FA9A40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    0.05966857  0.05605635 0.02513106  0.021284735  0.1170900</w:t>
      </w:r>
    </w:p>
    <w:p w14:paraId="2A05EE6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theta[2]    0.10221475  0.08266076 0.08024248  0.008628358  0.3058284</w:t>
      </w:r>
    </w:p>
    <w:p w14:paraId="409844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theta[3]    0.08947496  0.08463076 0.03770603  0.031282300  0.1769341</w:t>
      </w:r>
    </w:p>
    <w:p w14:paraId="2C9931E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theta[4]    0.11566523  0.11319428 0.03017793  0.064061920  0.1817478</w:t>
      </w:r>
    </w:p>
    <w:p w14:paraId="0C1D5EA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theta[5]    0.60512264  0.55114854 0.31716571  0.152467046  1.3643664</w:t>
      </w:r>
    </w:p>
    <w:p w14:paraId="5DC4719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theta[6]    0.60929953  0.59829725 0.13715750  0.372042557  0.9069040</w:t>
      </w:r>
    </w:p>
    <w:p w14:paraId="5447DBD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theta[7]    0.90004724  0.71432300 0.72049994  0.077966947  2.7484808</w:t>
      </w:r>
    </w:p>
    <w:p w14:paraId="63CABE3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theta[8]    0.89722001  0.71598072 0.71682900  0.076889659  2.7280935</w:t>
      </w:r>
    </w:p>
    <w:p w14:paraId="73EF693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theta[9]    1.58974458  1.45470916 0.78060429  0.471620071  3.4781768</w:t>
      </w:r>
    </w:p>
    <w:p w14:paraId="42A54AA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theta[10]   1.99406810  1.96237899 0.42422158  1.249232389  2.8967872</w:t>
      </w:r>
    </w:p>
    <w:p w14:paraId="5A2D2442" w14:textId="77777777" w:rsidR="00E21FA7" w:rsidRPr="00E21FA7" w:rsidRDefault="00E21FA7" w:rsidP="00E21F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1FA7">
        <w:rPr>
          <w:rFonts w:ascii="Times New Roman" w:eastAsia="Times New Roman" w:hAnsi="Times New Roman" w:cs="Times New Roman"/>
          <w:b/>
          <w:bCs/>
          <w:sz w:val="27"/>
          <w:szCs w:val="27"/>
          <w:lang w:eastAsia="en-IN"/>
        </w:rPr>
        <w:t>Monte Carlo Expectation Analysis</w:t>
      </w:r>
    </w:p>
    <w:p w14:paraId="10D4D80A"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To illustrate that NIMBLE is more than just an MCMC engine, the manual example uses NIMBLE’s built-in Monte Carlo Expectation algorithm to maximize the marginal likelihood for </w:t>
      </w:r>
      <w:r w:rsidRPr="00E21FA7">
        <w:rPr>
          <w:rFonts w:ascii="Courier New" w:eastAsia="Times New Roman" w:hAnsi="Courier New" w:cs="Courier New"/>
          <w:sz w:val="20"/>
          <w:szCs w:val="20"/>
          <w:lang w:eastAsia="en-IN"/>
        </w:rPr>
        <w:t>alpha</w:t>
      </w:r>
      <w:r w:rsidRPr="00E21FA7">
        <w:rPr>
          <w:rFonts w:ascii="Times New Roman" w:eastAsia="Times New Roman" w:hAnsi="Times New Roman" w:cs="Times New Roman"/>
          <w:sz w:val="20"/>
          <w:szCs w:val="20"/>
          <w:lang w:eastAsia="en-IN"/>
        </w:rPr>
        <w:t xml:space="preserve"> and </w:t>
      </w:r>
      <w:r w:rsidRPr="00E21FA7">
        <w:rPr>
          <w:rFonts w:ascii="Courier New" w:eastAsia="Times New Roman" w:hAnsi="Courier New" w:cs="Courier New"/>
          <w:sz w:val="20"/>
          <w:szCs w:val="20"/>
          <w:lang w:eastAsia="en-IN"/>
        </w:rPr>
        <w:t>beta</w:t>
      </w:r>
      <w:r w:rsidRPr="00E21FA7">
        <w:rPr>
          <w:rFonts w:ascii="Times New Roman" w:eastAsia="Times New Roman" w:hAnsi="Times New Roman" w:cs="Times New Roman"/>
          <w:sz w:val="20"/>
          <w:szCs w:val="20"/>
          <w:lang w:eastAsia="en-IN"/>
        </w:rPr>
        <w:t xml:space="preserve">. The first step is to set up “box constraints” for the model. Then, the </w:t>
      </w:r>
      <w:r w:rsidRPr="00E21FA7">
        <w:rPr>
          <w:rFonts w:ascii="Courier New" w:eastAsia="Times New Roman" w:hAnsi="Courier New" w:cs="Courier New"/>
          <w:sz w:val="20"/>
          <w:szCs w:val="20"/>
          <w:lang w:eastAsia="en-IN"/>
        </w:rPr>
        <w:t>buildMCEM()</w:t>
      </w:r>
      <w:r w:rsidRPr="00E21FA7">
        <w:rPr>
          <w:rFonts w:ascii="Times New Roman" w:eastAsia="Times New Roman" w:hAnsi="Times New Roman" w:cs="Times New Roman"/>
          <w:sz w:val="20"/>
          <w:szCs w:val="20"/>
          <w:lang w:eastAsia="en-IN"/>
        </w:rPr>
        <w:t xml:space="preserve"> function is used to construct an MCEM algorithm from a NIMBLE model.</w:t>
      </w:r>
    </w:p>
    <w:p w14:paraId="5070A5D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pump2 &lt;- pump$newModel()</w:t>
      </w:r>
    </w:p>
    <w:p w14:paraId="0C97EBE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box = list( list(c("alpha","beta"), c(0, Inf)))</w:t>
      </w:r>
    </w:p>
    <w:p w14:paraId="3B419D8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pumpMCEM &lt;- buildMCEM(model = pump2, latentNodes = "theta[1:10]", boxConstraints = box)</w:t>
      </w:r>
    </w:p>
    <w:p w14:paraId="5F4484F4"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lastRenderedPageBreak/>
        <w:t>This is how to run the Monte Carlo Expectation model. Note that the authors of the NIMBLE manual point out that these results are within 0.01 of the values obtained by George et al.</w:t>
      </w:r>
    </w:p>
    <w:p w14:paraId="62AD60B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pumpMLE &lt;- pumpMCEM$run()</w:t>
      </w:r>
    </w:p>
    <w:p w14:paraId="3064A27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FB9F32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3BB2921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1.</w:t>
      </w:r>
    </w:p>
    <w:p w14:paraId="4C9B2B2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77D4981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1DAB6E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2EA726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0.8130146 1.1125783 </w:t>
      </w:r>
    </w:p>
    <w:p w14:paraId="5D73C59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1.001.</w:t>
      </w:r>
    </w:p>
    <w:p w14:paraId="3D6FDEE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7C68AA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6C2CB03"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2.</w:t>
      </w:r>
    </w:p>
    <w:p w14:paraId="59F32C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610B62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0CC936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E45F0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0.8148887 1.2323211 </w:t>
      </w:r>
    </w:p>
    <w:p w14:paraId="7C1F20F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0.02959269.</w:t>
      </w:r>
    </w:p>
    <w:p w14:paraId="51418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97C165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873030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3.</w:t>
      </w:r>
    </w:p>
    <w:p w14:paraId="3F48903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1000.</w:t>
      </w:r>
    </w:p>
    <w:p w14:paraId="5DD26CC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6CA4928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0095CB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0.8244363 1.2797908 </w:t>
      </w:r>
    </w:p>
    <w:p w14:paraId="0DBD84F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0.005418668.</w:t>
      </w:r>
    </w:p>
    <w:p w14:paraId="3AA1C15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83A10D"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56C661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3A720F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DA80D6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316FD5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4.</w:t>
      </w:r>
    </w:p>
    <w:p w14:paraId="2400B830"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1250.</w:t>
      </w:r>
    </w:p>
    <w:p w14:paraId="4AA6BFE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7A1D408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4F40A68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0.8280353 1.2700022 </w:t>
      </w:r>
    </w:p>
    <w:p w14:paraId="7E4140B6"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0.001180319.</w:t>
      </w:r>
    </w:p>
    <w:p w14:paraId="285C84B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005D6C55"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1B119D4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0DCC2ABB"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C8FF9AF"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6A6A9FCA"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Monte Carlo error too big: increasing MCMC sample size.</w:t>
      </w:r>
    </w:p>
    <w:p w14:paraId="1780F3E8"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4919D7DC"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w:t>
      </w:r>
    </w:p>
    <w:p w14:paraId="7F7ADED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Iteration Number: 5.</w:t>
      </w:r>
    </w:p>
    <w:p w14:paraId="27C31E91"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Current number of MCMC iterations: 2188.</w:t>
      </w:r>
    </w:p>
    <w:p w14:paraId="0378795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Parameter Estimates: </w:t>
      </w:r>
    </w:p>
    <w:p w14:paraId="3FD2EDB2"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    alpha      beta </w:t>
      </w:r>
    </w:p>
    <w:p w14:paraId="19F59444"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 xml:space="preserve">0.8268224 1.2794244 </w:t>
      </w:r>
    </w:p>
    <w:p w14:paraId="7D45BCEE" w14:textId="77777777" w:rsidR="00E21FA7" w:rsidRPr="00E21FA7" w:rsidRDefault="00E21FA7" w:rsidP="00E21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1FA7">
        <w:rPr>
          <w:rFonts w:ascii="Courier New" w:eastAsia="Times New Roman" w:hAnsi="Courier New" w:cs="Courier New"/>
          <w:sz w:val="20"/>
          <w:szCs w:val="20"/>
          <w:lang w:eastAsia="en-IN"/>
        </w:rPr>
        <w:t>Convergence Criterion: 0.000745466.</w:t>
      </w:r>
    </w:p>
    <w:p w14:paraId="776DFA8E" w14:textId="77777777" w:rsidR="00E21FA7" w:rsidRPr="00E21FA7" w:rsidRDefault="00E21FA7" w:rsidP="00E21FA7">
      <w:pPr>
        <w:spacing w:before="100" w:beforeAutospacing="1" w:after="100" w:afterAutospacing="1" w:line="240" w:lineRule="auto"/>
        <w:rPr>
          <w:rFonts w:ascii="Times New Roman" w:eastAsia="Times New Roman" w:hAnsi="Times New Roman" w:cs="Times New Roman"/>
          <w:sz w:val="20"/>
          <w:szCs w:val="20"/>
          <w:lang w:eastAsia="en-IN"/>
        </w:rPr>
      </w:pPr>
      <w:r w:rsidRPr="00E21FA7">
        <w:rPr>
          <w:rFonts w:ascii="Times New Roman" w:eastAsia="Times New Roman" w:hAnsi="Times New Roman" w:cs="Times New Roman"/>
          <w:sz w:val="20"/>
          <w:szCs w:val="20"/>
          <w:lang w:eastAsia="en-IN"/>
        </w:rPr>
        <w:t xml:space="preserve">Like the tidyverse, NIBMLE is an ecosystem of DSLs. The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language is extended and used as a DSL for formulation models. </w:t>
      </w:r>
      <w:r w:rsidRPr="00E21FA7">
        <w:rPr>
          <w:rFonts w:ascii="Courier New" w:eastAsia="Times New Roman" w:hAnsi="Courier New" w:cs="Courier New"/>
          <w:sz w:val="20"/>
          <w:szCs w:val="20"/>
          <w:lang w:eastAsia="en-IN"/>
        </w:rPr>
        <w:t>nimbleFunctions</w:t>
      </w:r>
      <w:r w:rsidRPr="00E21FA7">
        <w:rPr>
          <w:rFonts w:ascii="Times New Roman" w:eastAsia="Times New Roman" w:hAnsi="Times New Roman" w:cs="Times New Roman"/>
          <w:sz w:val="20"/>
          <w:szCs w:val="20"/>
          <w:lang w:eastAsia="en-IN"/>
        </w:rPr>
        <w:t xml:space="preserve"> is a language for writing algorithms that may be used with both </w:t>
      </w:r>
      <w:r w:rsidRPr="00E21FA7">
        <w:rPr>
          <w:rFonts w:ascii="Courier New" w:eastAsia="Times New Roman" w:hAnsi="Courier New" w:cs="Courier New"/>
          <w:sz w:val="20"/>
          <w:szCs w:val="20"/>
          <w:lang w:eastAsia="en-IN"/>
        </w:rPr>
        <w:t>BUGS</w:t>
      </w:r>
      <w:r w:rsidRPr="00E21FA7">
        <w:rPr>
          <w:rFonts w:ascii="Times New Roman" w:eastAsia="Times New Roman" w:hAnsi="Times New Roman" w:cs="Times New Roman"/>
          <w:sz w:val="20"/>
          <w:szCs w:val="20"/>
          <w:lang w:eastAsia="en-IN"/>
        </w:rPr>
        <w:t xml:space="preserve"> and R. But, unlike the tidyverse, the NIMBLE DSLs are not distributed across multiple packages, but instead wrapped up into the NIMBLE package code.</w:t>
      </w:r>
    </w:p>
    <w:p w14:paraId="4D390C9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A7"/>
    <w:rsid w:val="002654A9"/>
    <w:rsid w:val="002B30FE"/>
    <w:rsid w:val="00E21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7BBA"/>
  <w15:chartTrackingRefBased/>
  <w15:docId w15:val="{E26AA481-1363-494D-8508-C4A15B72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05538">
      <w:bodyDiv w:val="1"/>
      <w:marLeft w:val="0"/>
      <w:marRight w:val="0"/>
      <w:marTop w:val="0"/>
      <w:marBottom w:val="0"/>
      <w:divBdr>
        <w:top w:val="none" w:sz="0" w:space="0" w:color="auto"/>
        <w:left w:val="none" w:sz="0" w:space="0" w:color="auto"/>
        <w:bottom w:val="none" w:sz="0" w:space="0" w:color="auto"/>
        <w:right w:val="none" w:sz="0" w:space="0" w:color="auto"/>
      </w:divBdr>
      <w:divsChild>
        <w:div w:id="1101336439">
          <w:marLeft w:val="0"/>
          <w:marRight w:val="0"/>
          <w:marTop w:val="0"/>
          <w:marBottom w:val="0"/>
          <w:divBdr>
            <w:top w:val="none" w:sz="0" w:space="0" w:color="auto"/>
            <w:left w:val="none" w:sz="0" w:space="0" w:color="auto"/>
            <w:bottom w:val="none" w:sz="0" w:space="0" w:color="auto"/>
            <w:right w:val="none" w:sz="0" w:space="0" w:color="auto"/>
          </w:divBdr>
          <w:divsChild>
            <w:div w:id="172185484">
              <w:marLeft w:val="0"/>
              <w:marRight w:val="0"/>
              <w:marTop w:val="0"/>
              <w:marBottom w:val="0"/>
              <w:divBdr>
                <w:top w:val="none" w:sz="0" w:space="0" w:color="auto"/>
                <w:left w:val="none" w:sz="0" w:space="0" w:color="auto"/>
                <w:bottom w:val="none" w:sz="0" w:space="0" w:color="auto"/>
                <w:right w:val="none" w:sz="0" w:space="0" w:color="auto"/>
              </w:divBdr>
            </w:div>
          </w:divsChild>
        </w:div>
        <w:div w:id="158383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imble.org/manuals/NimbleUserManual.pdf" TargetMode="External"/><Relationship Id="rId13" Type="http://schemas.openxmlformats.org/officeDocument/2006/relationships/hyperlink" Target="http://www.openbugs.net/Examples/Pumps.html"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arxiv.org/pdf/1505.05093.pdf" TargetMode="External"/><Relationship Id="rId12" Type="http://schemas.openxmlformats.org/officeDocument/2006/relationships/hyperlink" Target="https://www.jstor.org/stable/4616270?seq=1"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www.rdocumentation.org/packages/LaplacesDemon/versions/16.1.0/topics/WAIC?tap_a=5644-dce66f&amp;tap_s=10907-28722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tat.columbia.edu/~gelman/research/published/multi2.pdf" TargetMode="External"/><Relationship Id="rId11" Type="http://schemas.openxmlformats.org/officeDocument/2006/relationships/hyperlink" Target="https://cran.r-project.org/package=nimble" TargetMode="External"/><Relationship Id="rId5" Type="http://schemas.openxmlformats.org/officeDocument/2006/relationships/hyperlink" Target="https://cran.r-project.org/package=nimble" TargetMode="External"/><Relationship Id="rId15" Type="http://schemas.openxmlformats.org/officeDocument/2006/relationships/image" Target="media/image2.png"/><Relationship Id="rId10" Type="http://schemas.openxmlformats.org/officeDocument/2006/relationships/hyperlink" Target="https://r-nimble.org/manuals/NimbleUserManual.pdf" TargetMode="External"/><Relationship Id="rId19" Type="http://schemas.openxmlformats.org/officeDocument/2006/relationships/fontTable" Target="fontTable.xml"/><Relationship Id="rId4" Type="http://schemas.openxmlformats.org/officeDocument/2006/relationships/hyperlink" Target="http://adv-r.had.co.nz/dsl.html" TargetMode="External"/><Relationship Id="rId9" Type="http://schemas.openxmlformats.org/officeDocument/2006/relationships/hyperlink" Target="http://www.openbugs.net/w/FrontPag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3334</Words>
  <Characters>19010</Characters>
  <Application>Microsoft Office Word</Application>
  <DocSecurity>0</DocSecurity>
  <Lines>158</Lines>
  <Paragraphs>44</Paragraphs>
  <ScaleCrop>false</ScaleCrop>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2021-12-18T06:15:00Z</dcterms:created>
  <dcterms:modified xsi:type="dcterms:W3CDTF">2022-01-07T09:02:00Z</dcterms:modified>
</cp:coreProperties>
</file>