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E12C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Fully saturated RGB rainbow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still widely used in scientific visualizations despite their widely-recognized disadvantages. A recent wild-caught example is presented, showing its limitations along with a better HCL-based alternative palette.</w:t>
      </w:r>
    </w:p>
    <w:p w14:paraId="242910C7" w14:textId="77777777" w:rsidR="00C5181B" w:rsidRPr="00C5181B" w:rsidRDefault="00C5181B" w:rsidP="00C51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18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#</w:t>
      </w:r>
      <w:proofErr w:type="gramStart"/>
      <w:r w:rsidRPr="00C518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endrainbow</w:t>
      </w:r>
      <w:proofErr w:type="gramEnd"/>
    </w:p>
    <w:p w14:paraId="56757A2F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go-to palette in many software packages is – or used to be until rather recently – the so-called rainbow: a palette created by changing the hue in highly-saturated RGB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has been widely recognized as having a number of disadvantages including: abrupt shifts in brightness, misleading for viewers with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vision deficiencies, too flashy to look at for a longer time. As part of our R software project </w:t>
      </w:r>
      <w:hyperlink r:id="rId5" w:tgtFrame="_blank" w:history="1"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colorspace</w:t>
        </w:r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therefore started collecting typical (ab-)uses of the RGB rainbow palette on our web site </w:t>
      </w:r>
      <w:hyperlink r:id="rId6" w:tgtFrame="_blank" w:history="1"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http://colorspace.R-Forge.R-project.org/articles/endrainbow.html</w:t>
        </w:r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suggest better HCL-based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palettes.</w:t>
      </w:r>
    </w:p>
    <w:p w14:paraId="73DD3962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we present the most recent addition to that example collection, a map of influenza severity in Germany, published by the influenza working group of the </w:t>
      </w:r>
      <w:hyperlink r:id="rId7" w:tgtFrame="_blank" w:history="1"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Robert Koch-</w:t>
        </w:r>
        <w:proofErr w:type="spellStart"/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Institut</w:t>
        </w:r>
        <w:proofErr w:type="spellEnd"/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Along with the original map and its poor choice of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we:</w:t>
      </w:r>
    </w:p>
    <w:p w14:paraId="08EF5C6A" w14:textId="77777777" w:rsidR="00C5181B" w:rsidRPr="00C5181B" w:rsidRDefault="00C5181B" w:rsidP="00C51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highlight its problems by desaturation to grayscale and by emulating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vision deficiencies,</w:t>
      </w:r>
    </w:p>
    <w:p w14:paraId="61B91311" w14:textId="77777777" w:rsidR="00C5181B" w:rsidRPr="00C5181B" w:rsidRDefault="00C5181B" w:rsidP="00C51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suggest a proper sequential HCL-based palette, and</w:t>
      </w:r>
    </w:p>
    <w:p w14:paraId="141D54BC" w14:textId="77777777" w:rsidR="00C5181B" w:rsidRPr="00C5181B" w:rsidRDefault="00C5181B" w:rsidP="00C51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provide the R code that can extract and replace the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in a PNG graphics file.</w:t>
      </w:r>
    </w:p>
    <w:p w14:paraId="444876CE" w14:textId="77777777" w:rsidR="00C5181B" w:rsidRPr="00C5181B" w:rsidRDefault="00C5181B" w:rsidP="00C51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18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Influenza in Germany</w:t>
      </w:r>
    </w:p>
    <w:p w14:paraId="2B0293C1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shaded map below was taken from the web site of the </w:t>
      </w:r>
      <w:hyperlink r:id="rId8" w:tgtFrame="_blank" w:history="1"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Robert Koch-</w:t>
        </w:r>
        <w:proofErr w:type="spellStart"/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Institut</w:t>
        </w:r>
        <w:proofErr w:type="spellEnd"/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Arbeitsgemeinschaft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Influenza) and it shows the severity of influenza in Germany in week 8, 2019. The original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(left) is the classic rainbow ranging from “normal” (blue) to “strongly increased” (red). As all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palette are very flashy and highly-saturated it is hard to grasp intuitively which areas are most affected by influenza. Also, the least interesting “normal” areas stand out as blue is the darkest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palette.</w:t>
      </w:r>
    </w:p>
    <w:p w14:paraId="1CEB2191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alternative, a proper multi-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hue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sequential HCL palette is used on the right. This has smooth gradients and the overall message can be grasped quickly, giving focus to the high-risk regions depicted with dark/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the extremely sharp transitions between “normal” and “strongly increased” areas (e.g., in the North and the East) might indicate some overfitting in the underlying smoothing for the map.</w:t>
      </w:r>
    </w:p>
    <w:p w14:paraId="037371F9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FE7978E" wp14:editId="32AE09D7">
            <wp:extent cx="464820" cy="480060"/>
            <wp:effectExtent l="0" t="0" r="0" b="0"/>
            <wp:docPr id="10" name="Picture 10" descr="influenza-rainbow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luenza-rainbow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9BC3C1E" wp14:editId="255B41E3">
            <wp:extent cx="464820" cy="480060"/>
            <wp:effectExtent l="0" t="0" r="0" b="0"/>
            <wp:docPr id="11" name="Picture 11" descr="influenza-purpleyellow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fluenza-purpleyellow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1D11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Converting all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grayscale brings out even more clearly why the overall picture is so hard to grasp with the original palette: The gradients are discontinuous switching several times between bright and dark. Thus, it is hard to identify the high-risk regions while this is more natural and straightforward with the HCL-based sequential palette.</w:t>
      </w:r>
    </w:p>
    <w:p w14:paraId="29B01D8C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8FB6606" wp14:editId="1F85D5BD">
            <wp:extent cx="464820" cy="480060"/>
            <wp:effectExtent l="0" t="0" r="0" b="0"/>
            <wp:docPr id="12" name="Picture 12" descr="influenza-rainbow-gray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luenza-rainbow-gray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C657A2A" wp14:editId="0C0C9A8B">
            <wp:extent cx="464820" cy="480060"/>
            <wp:effectExtent l="0" t="0" r="0" b="0"/>
            <wp:docPr id="13" name="Picture 13" descr="influenza-purpleyellow-gray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fluenza-purpleyellow-gray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4DD0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Emulating green-deficient vision (deuteranopia) emphasizes the same problems as the desaturated version above but shows even more problems with the original palette: The wrong areas in the map “pop out”, making the map extremely hard to use for viewers with red-green deficiency. The HCL-based palette on the other hand is equally accessible for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-deficient viewers as for those with full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vision.</w:t>
      </w:r>
    </w:p>
    <w:p w14:paraId="5D38091D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A916E95" wp14:editId="184C2ACA">
            <wp:extent cx="464820" cy="480060"/>
            <wp:effectExtent l="0" t="0" r="0" b="0"/>
            <wp:docPr id="14" name="Picture 14" descr="influenza-rainbow-deuta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fluenza-rainbow-deuta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D1246FF" wp14:editId="013A86A6">
            <wp:extent cx="464820" cy="480060"/>
            <wp:effectExtent l="0" t="0" r="0" b="0"/>
            <wp:docPr id="15" name="Picture 15" descr="influenza-purpleyellow-deuta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fluenza-purpleyellow-deuta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9499" w14:textId="77777777" w:rsidR="00C5181B" w:rsidRPr="00C5181B" w:rsidRDefault="00C5181B" w:rsidP="00C51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18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Replication in R</w:t>
      </w:r>
    </w:p>
    <w:p w14:paraId="48CB7D1C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desaturated and deuteranope version of the original image </w:t>
      </w:r>
      <w:hyperlink r:id="rId21" w:tgtFrame="_blank" w:history="1"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influenza-rainbow.png</w:t>
        </w:r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screenshot of the RKI web page) are relatively easy to produce using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cvd_emulator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("influenza-rainbow.png")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Internally, this reads the RGB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pixels in the PNG, converts them with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desaturate(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deutan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, respectively, and saves the PNG again. Below we also do this “by hand”.</w:t>
      </w:r>
    </w:p>
    <w:p w14:paraId="418B789C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is more complicated is the replacement of the original rainbow palette with a properly balanced HCL palette (without access to the underlying data). Luckily the image contains a legend from which the original palette can be extracted. Subsequently, it is possibly to index all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image, replace them, and write out the PNG again.</w:t>
      </w:r>
    </w:p>
    <w:p w14:paraId="1E9EBF8E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first step we read the original PNG image using the R package </w:t>
      </w:r>
      <w:hyperlink r:id="rId22" w:tgtFrame="_blank" w:history="1">
        <w:proofErr w:type="spellStart"/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png</w:t>
        </w:r>
        <w:proofErr w:type="spellEnd"/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returning a height x width x 4 array containing the three RGB (red/green/blue) channels plus a channel for alpha transparency. Then, this is turned into a height x width matrix containing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hex codes using the base </w:t>
      </w:r>
      <w:proofErr w:type="spellStart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B277DFB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readPNG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("influenza-rainbow.png")</w:t>
      </w:r>
    </w:p>
    <w:p w14:paraId="4518E664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</w:p>
    <w:p w14:paraId="674B6CDB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[,,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[,,2],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[,,3]),</w:t>
      </w:r>
    </w:p>
    <w:p w14:paraId="539C084A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F6ECF4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ED1FF6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 manual </w:t>
      </w:r>
      <w:proofErr w:type="gram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</w:t>
      </w:r>
      <w:proofErr w:type="gram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find a column of pixels from the palette legend (column 630) and thin it to obtain only 99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DEFF99B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96:699, 630]</w:t>
      </w:r>
    </w:p>
    <w:p w14:paraId="2A4795F6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(1, length(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99)]</w:t>
      </w:r>
    </w:p>
    <w:p w14:paraId="1750D284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replacement we use a slightly adapted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sequential_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was suggested by </w:t>
      </w:r>
      <w:hyperlink r:id="rId23" w:tgtFrame="_blank" w:history="1"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Stauffer </w:t>
        </w:r>
        <w:r w:rsidRPr="00C5181B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et al.</w:t>
        </w:r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(2015)</w:t>
        </w:r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precipitation warning map. The </w:t>
      </w: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"Purple-Yellow"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is currently only in version 1.4-1 of the package on </w:t>
      </w:r>
      <w:hyperlink r:id="rId24" w:tgtFrame="_blank" w:history="1">
        <w:r w:rsidRPr="00C51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R-Forge</w:t>
        </w:r>
      </w:hyperlink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other sequential HCL palettes could also be used here.</w:t>
      </w:r>
    </w:p>
    <w:p w14:paraId="12A8C4C2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90FFCB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sequential_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99, "Purple-Yellow", p1 = 1.3, c2 = 20)</w:t>
      </w:r>
    </w:p>
    <w:p w14:paraId="28B20D3A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for replacing the RGB rainbow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sequential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following approach is taken: The original image is indexed by matching the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pixel to the closest of the 99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rainbow palette. Furthermore, to preserve the black borders and the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shadows, 50 shades of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also offered for the indexing. To match pixel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palette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simple Manhattan distance (sum of absolute distances) is used in the CIELUV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space:</w:t>
      </w:r>
    </w:p>
    <w:p w14:paraId="51B234EC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50 shades of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</w:p>
    <w:p w14:paraId="3CA52D2F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pal_gray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0:50/50)</w:t>
      </w:r>
    </w:p>
    <w:p w14:paraId="27C329AF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22EE9A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## HCL coordinates for image and palette</w:t>
      </w:r>
    </w:p>
    <w:p w14:paraId="28283D20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img_luv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(as(hex2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RGB(</w:t>
      </w:r>
      <w:proofErr w:type="spellStart"/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)), "LUV"))</w:t>
      </w:r>
    </w:p>
    <w:p w14:paraId="2ABDAA6D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pal_luv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as(hex2RGB(c(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pal_gray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)), "LUV"))</w:t>
      </w:r>
    </w:p>
    <w:p w14:paraId="493FDB1C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58DE6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## Manhattan distance matrix</w:t>
      </w:r>
    </w:p>
    <w:p w14:paraId="02E18A66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dm &lt;- 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img_luv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pal_luv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187165E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1:nrow(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pal_luv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dm[,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(abs(t(t(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img_luv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pal_luv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,])))</w:t>
      </w:r>
    </w:p>
    <w:p w14:paraId="5671C72D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dm, 1,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F2EE93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each element of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hex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can be easily replaced by indexing a new palette with 99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(plus 50 shades of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using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vector. This is what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below does, writing the resulting matrix to a PNG file. The function is somewhat quick and dirty, makes no sanity checks, and assumes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in the calling environment.</w:t>
      </w:r>
    </w:p>
    <w:p w14:paraId="33B76674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 =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, file = "influenza.png", rev = FALSE) {</w:t>
      </w:r>
    </w:p>
    <w:p w14:paraId="1DE23CF2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 &lt;-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</w:p>
    <w:p w14:paraId="0B48CA5D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if(rev) c(rev(pal), rev(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pal_gray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else 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pal,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pal_gray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87F8FA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ret[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] &lt;- pal[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5674239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 &lt;-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(hex2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RGB(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ret))</w:t>
      </w:r>
    </w:p>
    <w:p w14:paraId="55644F69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dim(ret) &lt;- c(dim(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), 3)</w:t>
      </w:r>
    </w:p>
    <w:p w14:paraId="044763A9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writePNG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(ret, target = file)</w:t>
      </w:r>
    </w:p>
    <w:p w14:paraId="41C70F2E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9E27D0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this function, we can easily produce the PNG graphic with the desaturated palette and the deuteranope version”</w:t>
      </w:r>
    </w:p>
    <w:p w14:paraId="2A6A10B5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(desaturate(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), "influenza-rainbow-gray.png")</w:t>
      </w:r>
    </w:p>
    <w:p w14:paraId="420FC7CB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 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deutan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), "influenza-rainbow-deutan.png")</w:t>
      </w:r>
    </w:p>
    <w:p w14:paraId="7270A0FE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analogous graphics for the HCL-based </w:t>
      </w: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"Purple-Yellow"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are generated by:</w:t>
      </w:r>
    </w:p>
    <w:p w14:paraId="65DD1FD7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 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,   "influenza-purpleyellow.png")</w:t>
      </w:r>
    </w:p>
    <w:p w14:paraId="6F1B66C6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(desaturate(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pal_hcl</w:t>
      </w:r>
      <w:proofErr w:type="spellEnd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),  "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influenza-purpleyellow-gray.png")</w:t>
      </w:r>
    </w:p>
    <w:p w14:paraId="0942BACF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 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deutan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),  "influenza-purpleyellow-deutan.png")</w:t>
      </w:r>
    </w:p>
    <w:p w14:paraId="60055ADC" w14:textId="77777777" w:rsidR="00C5181B" w:rsidRPr="00C5181B" w:rsidRDefault="00C5181B" w:rsidP="00C51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18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Further remarks</w:t>
      </w:r>
    </w:p>
    <w:p w14:paraId="487B8496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 that we have now extracted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and set up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pal_hcl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alternative we can also use the 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</w:t>
      </w:r>
      <w:proofErr w:type="spellStart"/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specplot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understand how the perceptual properties of the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change across the two palettes. For the HCL-based palette the hue/chroma/luminance changes smoothly from dark/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purple to a light yellow. In contrast, in the original RGB rainbow chroma and, more importantly, luminance </w:t>
      </w:r>
      <w:proofErr w:type="gram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</w:t>
      </w:r>
      <w:proofErr w:type="gram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non-monotonically and rather abruptly:</w:t>
      </w:r>
    </w:p>
    <w:p w14:paraId="459A4017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specplot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pal_rain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9984C7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specplot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8798A4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D4C31E5" wp14:editId="2F2302BF">
            <wp:extent cx="464820" cy="480060"/>
            <wp:effectExtent l="0" t="0" r="0" b="0"/>
            <wp:docPr id="16" name="Picture 16" descr="influenza-rainbow-spectrum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luenza-rainbow-spectrum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D2D358C" wp14:editId="7A6C25BB">
            <wp:extent cx="464820" cy="480060"/>
            <wp:effectExtent l="0" t="0" r="0" b="0"/>
            <wp:docPr id="17" name="Picture 17" descr="influenza-purpleyellow-spectrum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fluenza-purpleyellow-spectrum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96F4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Given that the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image are indexed now and the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shades are in a separate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subvector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can now easily </w:t>
      </w: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rev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erse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order in both </w:t>
      </w:r>
      <w:proofErr w:type="spellStart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>subvectors</w:t>
      </w:r>
      <w:proofErr w:type="spellEnd"/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yields a black background with white letters and we can use the </w:t>
      </w:r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"Inferno"</w:t>
      </w:r>
      <w:r w:rsidRPr="00C518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that works well on dark backgrounds:</w:t>
      </w:r>
    </w:p>
    <w:p w14:paraId="5A670480" w14:textId="77777777" w:rsidR="00C5181B" w:rsidRPr="00C5181B" w:rsidRDefault="00C5181B" w:rsidP="00C5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pal_to_</w:t>
      </w:r>
      <w:proofErr w:type="gramStart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sequential_hcl</w:t>
      </w:r>
      <w:proofErr w:type="spellEnd"/>
      <w:r w:rsidRPr="00C5181B">
        <w:rPr>
          <w:rFonts w:ascii="Courier New" w:eastAsia="Times New Roman" w:hAnsi="Courier New" w:cs="Courier New"/>
          <w:sz w:val="20"/>
          <w:szCs w:val="20"/>
          <w:lang w:eastAsia="en-IN"/>
        </w:rPr>
        <w:t>(99, "Inferno"), "influenza-inferno.png", rev = TRUE)</w:t>
      </w:r>
    </w:p>
    <w:p w14:paraId="3D2497FD" w14:textId="77777777" w:rsidR="00C5181B" w:rsidRPr="00C5181B" w:rsidRDefault="00C5181B" w:rsidP="00C5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81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1F06A1A" wp14:editId="1F2321F7">
            <wp:extent cx="464820" cy="480060"/>
            <wp:effectExtent l="0" t="0" r="0" b="0"/>
            <wp:docPr id="18" name="Picture 18" descr="influenza-inferno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fluenza-inferno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5339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1469"/>
    <w:multiLevelType w:val="multilevel"/>
    <w:tmpl w:val="5F5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1B"/>
    <w:rsid w:val="00072087"/>
    <w:rsid w:val="00C5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DC9B"/>
  <w15:chartTrackingRefBased/>
  <w15:docId w15:val="{751CC0FE-86C3-41A7-834C-FB8D1582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luenza.rki.de/" TargetMode="External"/><Relationship Id="rId13" Type="http://schemas.openxmlformats.org/officeDocument/2006/relationships/hyperlink" Target="https://i0.wp.com/eeecon.uibk.ac.at/~zeileis/assets/posts/2019-03-07-endrainbow/influenza-rainbow-gray.png?ssl=1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eeecon.uibk.ac.at/~zeileis/assets/posts/2019-03-07-endrainbow/influenza-rainbow.png" TargetMode="External"/><Relationship Id="rId7" Type="http://schemas.openxmlformats.org/officeDocument/2006/relationships/hyperlink" Target="https://influenza.rki.d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0.wp.com/eeecon.uibk.ac.at/~zeileis/assets/posts/2019-03-07-endrainbow/influenza-rainbow-deutan.png?ssl=1" TargetMode="External"/><Relationship Id="rId25" Type="http://schemas.openxmlformats.org/officeDocument/2006/relationships/hyperlink" Target="https://i1.wp.com/eeecon.uibk.ac.at/~zeileis/assets/posts/2019-03-07-endrainbow/influenza-rainbow-spectrum.png?ssl=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i2.wp.com/eeecon.uibk.ac.at/~zeileis/assets/posts/2019-03-07-endrainbow/influenza-inferno.png?ss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lorspace.r-forge.r-project.org/articles/endrainbow.html" TargetMode="External"/><Relationship Id="rId11" Type="http://schemas.openxmlformats.org/officeDocument/2006/relationships/hyperlink" Target="https://i1.wp.com/eeecon.uibk.ac.at/~zeileis/assets/posts/2019-03-07-endrainbow/influenza-purpleyellow.png?ssl=1" TargetMode="External"/><Relationship Id="rId24" Type="http://schemas.openxmlformats.org/officeDocument/2006/relationships/hyperlink" Target="https://r-forge.r-project.org/R/?group_id=2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eecon.uibk.ac.at/~zeileis/news/colorspace/" TargetMode="External"/><Relationship Id="rId15" Type="http://schemas.openxmlformats.org/officeDocument/2006/relationships/hyperlink" Target="https://i2.wp.com/eeecon.uibk.ac.at/~zeileis/assets/posts/2019-03-07-endrainbow/influenza-purpleyellow-gray.png?ssl=1" TargetMode="External"/><Relationship Id="rId23" Type="http://schemas.openxmlformats.org/officeDocument/2006/relationships/hyperlink" Target="https://dx.doi.org/10.1175/BAMS-D-13-00155.1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hyperlink" Target="https://i2.wp.com/eeecon.uibk.ac.at/~zeileis/assets/posts/2019-03-07-endrainbow/influenza-purpleyellow-deutan.png?ssl=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0.wp.com/eeecon.uibk.ac.at/~zeileis/assets/posts/2019-03-07-endrainbow/influenza-rainbow.png?ssl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cran.r-project.org/package=png" TargetMode="External"/><Relationship Id="rId27" Type="http://schemas.openxmlformats.org/officeDocument/2006/relationships/hyperlink" Target="https://i0.wp.com/eeecon.uibk.ac.at/~zeileis/assets/posts/2019-03-07-endrainbow/influenza-purpleyellow-spectrum.png?ssl=1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2021-11-29T05:48:00Z</dcterms:created>
  <dcterms:modified xsi:type="dcterms:W3CDTF">2021-11-29T05:48:00Z</dcterms:modified>
</cp:coreProperties>
</file>