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2EEE"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Abstract:</w:t>
      </w:r>
    </w:p>
    <w:p w14:paraId="775B255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an applied statistician you get in touch with many challenging problems in need of a statistical solution. Often, your client/colleague already has a working solution and just wants to clarify a small statistical detail with you. Equally often, your intuition suggests you that the working solution is not statistically adequate, but how to substantiate this? As motivating </w:t>
      </w:r>
      <w:proofErr w:type="gramStart"/>
      <w:r w:rsidRPr="004D3699">
        <w:rPr>
          <w:rFonts w:ascii="Times New Roman" w:eastAsia="Times New Roman" w:hAnsi="Times New Roman" w:cs="Times New Roman"/>
          <w:sz w:val="20"/>
          <w:szCs w:val="20"/>
          <w:lang w:eastAsia="en-IN"/>
        </w:rPr>
        <w:t>example</w:t>
      </w:r>
      <w:proofErr w:type="gramEnd"/>
      <w:r w:rsidRPr="004D3699">
        <w:rPr>
          <w:rFonts w:ascii="Times New Roman" w:eastAsia="Times New Roman" w:hAnsi="Times New Roman" w:cs="Times New Roman"/>
          <w:sz w:val="20"/>
          <w:szCs w:val="20"/>
          <w:lang w:eastAsia="en-IN"/>
        </w:rPr>
        <w:t xml:space="preserve"> we use the statistical process control methodology used in Sarma et al. (2018) for monitoring a binomial proportion as part of a syndromic surveillance kit.</w:t>
      </w:r>
    </w:p>
    <w:p w14:paraId="7EB391DA"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32867A95" wp14:editId="6C19831D">
            <wp:extent cx="429006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286000"/>
                    </a:xfrm>
                    <a:prstGeom prst="rect">
                      <a:avLst/>
                    </a:prstGeom>
                    <a:noFill/>
                    <a:ln>
                      <a:noFill/>
                    </a:ln>
                  </pic:spPr>
                </pic:pic>
              </a:graphicData>
            </a:graphic>
          </wp:inline>
        </w:drawing>
      </w:r>
    </w:p>
    <w:p w14:paraId="7E868E24"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Introduction</w:t>
      </w:r>
    </w:p>
    <w:p w14:paraId="0B0806E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few weeks </w:t>
      </w:r>
      <w:proofErr w:type="gramStart"/>
      <w:r w:rsidRPr="004D3699">
        <w:rPr>
          <w:rFonts w:ascii="Times New Roman" w:eastAsia="Times New Roman" w:hAnsi="Times New Roman" w:cs="Times New Roman"/>
          <w:sz w:val="20"/>
          <w:szCs w:val="20"/>
          <w:lang w:eastAsia="en-IN"/>
        </w:rPr>
        <w:t>ago</w:t>
      </w:r>
      <w:proofErr w:type="gramEnd"/>
      <w:r w:rsidRPr="004D3699">
        <w:rPr>
          <w:rFonts w:ascii="Times New Roman" w:eastAsia="Times New Roman" w:hAnsi="Times New Roman" w:cs="Times New Roman"/>
          <w:sz w:val="20"/>
          <w:szCs w:val="20"/>
          <w:lang w:eastAsia="en-IN"/>
        </w:rPr>
        <w:t xml:space="preserve"> I became aware of the publication by Sarma et al. (2018), who as part of a syndromic surveillance system monitor the time series of a proportion with the aim of timely detecting changes. What initially caught my intention was their figure 1A:</w:t>
      </w:r>
    </w:p>
    <w:p w14:paraId="4DFD56EF"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0293A3F7" wp14:editId="7505E5D0">
            <wp:extent cx="429006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24200"/>
                    </a:xfrm>
                    <a:prstGeom prst="rect">
                      <a:avLst/>
                    </a:prstGeom>
                    <a:noFill/>
                    <a:ln>
                      <a:noFill/>
                    </a:ln>
                  </pic:spPr>
                </pic:pic>
              </a:graphicData>
            </a:graphic>
          </wp:inline>
        </w:drawing>
      </w:r>
    </w:p>
    <w:p w14:paraId="0AFCDD34"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proofErr w:type="gramStart"/>
      <w:r w:rsidRPr="004D3699">
        <w:rPr>
          <w:rFonts w:ascii="Times New Roman" w:eastAsia="Times New Roman" w:hAnsi="Times New Roman" w:cs="Times New Roman"/>
          <w:color w:val="BBBBBB"/>
          <w:sz w:val="20"/>
          <w:szCs w:val="20"/>
          <w:lang w:eastAsia="en-IN"/>
        </w:rPr>
        <w:t>Figure :</w:t>
      </w:r>
      <w:proofErr w:type="gramEnd"/>
      <w:r w:rsidRPr="004D3699">
        <w:rPr>
          <w:rFonts w:ascii="Times New Roman" w:eastAsia="Times New Roman" w:hAnsi="Times New Roman" w:cs="Times New Roman"/>
          <w:color w:val="BBBBBB"/>
          <w:sz w:val="20"/>
          <w:szCs w:val="20"/>
          <w:lang w:eastAsia="en-IN"/>
        </w:rPr>
        <w:t xml:space="preserve"> Figure 1A from Sarma et al. (2018) showing the time series of proportions that reports of acute respiratory infection make up of all syndrome reports that day. </w:t>
      </w:r>
    </w:p>
    <w:p w14:paraId="21BEC7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 xml:space="preserve">Reading the details of the paper reveals that the number of daily counts on 14 syndromes is collected and for each syndrome the proportion of the particular syndrome out of all syndrome reports is calculated. In other words: given that the counts for a particular day \(t\) are \(y_{it}, </w:t>
      </w:r>
      <w:proofErr w:type="spellStart"/>
      <w:r w:rsidRPr="004D3699">
        <w:rPr>
          <w:rFonts w:ascii="Times New Roman" w:eastAsia="Times New Roman" w:hAnsi="Times New Roman" w:cs="Times New Roman"/>
          <w:sz w:val="20"/>
          <w:szCs w:val="20"/>
          <w:lang w:eastAsia="en-IN"/>
        </w:rPr>
        <w:t>i</w:t>
      </w:r>
      <w:proofErr w:type="spellEnd"/>
      <w:r w:rsidRPr="004D3699">
        <w:rPr>
          <w:rFonts w:ascii="Times New Roman" w:eastAsia="Times New Roman" w:hAnsi="Times New Roman" w:cs="Times New Roman"/>
          <w:sz w:val="20"/>
          <w:szCs w:val="20"/>
          <w:lang w:eastAsia="en-IN"/>
        </w:rPr>
        <w:t>=1,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14\), the monitored proportion is \(p_{it} = y_{it}/\sum_{j=</w:t>
      </w:r>
      <w:proofErr w:type="gramStart"/>
      <w:r w:rsidRPr="004D3699">
        <w:rPr>
          <w:rFonts w:ascii="Times New Roman" w:eastAsia="Times New Roman" w:hAnsi="Times New Roman" w:cs="Times New Roman"/>
          <w:sz w:val="20"/>
          <w:szCs w:val="20"/>
          <w:lang w:eastAsia="en-IN"/>
        </w:rPr>
        <w:t>1}^</w:t>
      </w:r>
      <w:proofErr w:type="gramEnd"/>
      <w:r w:rsidRPr="004D3699">
        <w:rPr>
          <w:rFonts w:ascii="Times New Roman" w:eastAsia="Times New Roman" w:hAnsi="Times New Roman" w:cs="Times New Roman"/>
          <w:sz w:val="20"/>
          <w:szCs w:val="20"/>
          <w:lang w:eastAsia="en-IN"/>
        </w:rPr>
        <w:t>{14} y_{</w:t>
      </w:r>
      <w:proofErr w:type="spellStart"/>
      <w:r w:rsidRPr="004D3699">
        <w:rPr>
          <w:rFonts w:ascii="Times New Roman" w:eastAsia="Times New Roman" w:hAnsi="Times New Roman" w:cs="Times New Roman"/>
          <w:sz w:val="20"/>
          <w:szCs w:val="20"/>
          <w:lang w:eastAsia="en-IN"/>
        </w:rPr>
        <w:t>jt</w:t>
      </w:r>
      <w:proofErr w:type="spellEnd"/>
      <w:r w:rsidRPr="004D3699">
        <w:rPr>
          <w:rFonts w:ascii="Times New Roman" w:eastAsia="Times New Roman" w:hAnsi="Times New Roman" w:cs="Times New Roman"/>
          <w:sz w:val="20"/>
          <w:szCs w:val="20"/>
          <w:lang w:eastAsia="en-IN"/>
        </w:rPr>
        <w:t>}\). It is thus clear that it’s impossible to get beyond 100%. The more surprising was that the upper level in the figure goes beyond it – a sign of an inadequate statistical method. What the authors do is to compute an upper threshold for a particular day \(t</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 as follows:</w:t>
      </w:r>
    </w:p>
    <w:p w14:paraId="2EED731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U_{t_0} = \overline{p}_{t_0}(d) + k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s_{t_0}(d), \quad \text{where}\\</w:t>
      </w:r>
      <w:r w:rsidRPr="004D3699">
        <w:rPr>
          <w:rFonts w:ascii="Times New Roman" w:eastAsia="Times New Roman" w:hAnsi="Times New Roman" w:cs="Times New Roman"/>
          <w:sz w:val="20"/>
          <w:szCs w:val="20"/>
          <w:lang w:eastAsia="en-IN"/>
        </w:rPr>
        <w:br/>
        <w:t>\quad \overline{p}_{t_0}(d) = \frac{1}{d}\sum_{t=t_0-d}^{t_0-1} p_{t}</w:t>
      </w:r>
      <w:r w:rsidRPr="004D3699">
        <w:rPr>
          <w:rFonts w:ascii="Times New Roman" w:eastAsia="Times New Roman" w:hAnsi="Times New Roman" w:cs="Times New Roman"/>
          <w:sz w:val="20"/>
          <w:szCs w:val="20"/>
          <w:lang w:eastAsia="en-IN"/>
        </w:rPr>
        <w:br/>
        <w:t>\quad\text{and}\quad</w:t>
      </w:r>
      <w:r w:rsidRPr="004D3699">
        <w:rPr>
          <w:rFonts w:ascii="Times New Roman" w:eastAsia="Times New Roman" w:hAnsi="Times New Roman" w:cs="Times New Roman"/>
          <w:sz w:val="20"/>
          <w:szCs w:val="20"/>
          <w:lang w:eastAsia="en-IN"/>
        </w:rPr>
        <w:br/>
        <w:t>s_{t_0}(d) = \frac{1}{d-1} \sum_{t=t_0-d}^{t_0-1}</w:t>
      </w:r>
      <w:r w:rsidRPr="004D3699">
        <w:rPr>
          <w:rFonts w:ascii="Times New Roman" w:eastAsia="Times New Roman" w:hAnsi="Times New Roman" w:cs="Times New Roman"/>
          <w:sz w:val="20"/>
          <w:szCs w:val="20"/>
          <w:lang w:eastAsia="en-IN"/>
        </w:rPr>
        <w:br/>
        <w:t>(p_{t} – \overline{p}_{t_0}(d))^2</w:t>
      </w:r>
      <w:r w:rsidRPr="004D3699">
        <w:rPr>
          <w:rFonts w:ascii="Times New Roman" w:eastAsia="Times New Roman" w:hAnsi="Times New Roman" w:cs="Times New Roman"/>
          <w:sz w:val="20"/>
          <w:szCs w:val="20"/>
          <w:lang w:eastAsia="en-IN"/>
        </w:rPr>
        <w:br/>
        <w:t>\]</w:t>
      </w:r>
    </w:p>
    <w:p w14:paraId="6664A7E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is the mean and standard deviation of the \(d\) baseline observations</w:t>
      </w:r>
      <w:hyperlink r:id="rId7" w:anchor="fn1" w:tgtFrame="_blank" w:history="1">
        <w:r w:rsidRPr="004D3699">
          <w:rPr>
            <w:rFonts w:ascii="Times New Roman" w:eastAsia="Times New Roman" w:hAnsi="Times New Roman" w:cs="Times New Roman"/>
            <w:color w:val="0000FF"/>
            <w:sz w:val="20"/>
            <w:szCs w:val="20"/>
            <w:u w:val="single"/>
            <w:vertAlign w:val="superscript"/>
            <w:lang w:eastAsia="en-IN"/>
          </w:rPr>
          <w:t>1</w:t>
        </w:r>
      </w:hyperlink>
      <w:r w:rsidRPr="004D3699">
        <w:rPr>
          <w:rFonts w:ascii="Times New Roman" w:eastAsia="Times New Roman" w:hAnsi="Times New Roman" w:cs="Times New Roman"/>
          <w:sz w:val="20"/>
          <w:szCs w:val="20"/>
          <w:lang w:eastAsia="en-IN"/>
        </w:rPr>
        <w:t>, respectively, and \(k\) is a tuning parameter – for 12 out of the 14 syndromes \(k=2\) is used, but for the two syndromes with highest proportions, including acute respiratory infections, \(k=4\) is used. As the method looks like an adaptation of the simple EARS method (Fricker, Hegler, and Dunfee 2008) to proportions this caused me to tweet the following critical remark (no harm intended besides the scientific criticism of using a somewhat inadequate statistical method):</w:t>
      </w:r>
    </w:p>
    <w:p w14:paraId="7F1D601D" w14:textId="66862EA4" w:rsidR="004D3699" w:rsidRPr="004D3699" w:rsidRDefault="004D3699" w:rsidP="004D1CFF">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Initially, I replied by twitter, but realized that twitter is not a good format for a well-balanced and thorough scientific discourse. Also, my answers lacked exemplification and supporting numbers, so I deleted the answers and shall instead use this blog post to provide a thorough answer. Please note that my discussion focuses on the paper’s statistical methodology approach – I do think the published application is very important and I’m happy to see that the resulting Excel tool is made available to a greater audience under a creative common license!</w:t>
      </w:r>
    </w:p>
    <w:p w14:paraId="24FD3046" w14:textId="685E841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much I can understand the motives, working in applied statistics is always a balance between mathematical exactness and pragmatism. A </w:t>
      </w:r>
      <w:r w:rsidRPr="004D3699">
        <w:rPr>
          <w:rFonts w:ascii="Times New Roman" w:eastAsia="Times New Roman" w:hAnsi="Times New Roman" w:cs="Times New Roman"/>
          <w:color w:val="0000FF"/>
          <w:sz w:val="20"/>
          <w:szCs w:val="20"/>
          <w:u w:val="single"/>
          <w:lang w:eastAsia="en-IN"/>
        </w:rPr>
        <w:t>famous quote</w:t>
      </w:r>
      <w:r w:rsidRPr="004D3699">
        <w:rPr>
          <w:rFonts w:ascii="Times New Roman" w:eastAsia="Times New Roman" w:hAnsi="Times New Roman" w:cs="Times New Roman"/>
          <w:sz w:val="20"/>
          <w:szCs w:val="20"/>
          <w:lang w:eastAsia="en-IN"/>
        </w:rPr>
        <w:t xml:space="preserve"> says that things should be as simple as possible, but not simpler. But if mathematical rigour always is second, something is amiss. In this light, I’d like to comment on the four reasons given in Alexander’s reply.</w:t>
      </w:r>
    </w:p>
    <w:p w14:paraId="2031AB19"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1 &amp; 2:</w:t>
      </w:r>
    </w:p>
    <w:p w14:paraId="2C7DA45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principle I agree and taking a non-parametric and distribution free approach is healthy, if you fear your assumptions are more quickly violated than you can formulate them. Using mean plus two times standard deviation of the \(d=15\) baseline counts </w:t>
      </w:r>
      <w:proofErr w:type="gramStart"/>
      <w:r w:rsidRPr="004D3699">
        <w:rPr>
          <w:rFonts w:ascii="Times New Roman" w:eastAsia="Times New Roman" w:hAnsi="Times New Roman" w:cs="Times New Roman"/>
          <w:sz w:val="20"/>
          <w:szCs w:val="20"/>
          <w:lang w:eastAsia="en-IN"/>
        </w:rPr>
        <w:t>does</w:t>
      </w:r>
      <w:proofErr w:type="gramEnd"/>
      <w:r w:rsidRPr="004D3699">
        <w:rPr>
          <w:rFonts w:ascii="Times New Roman" w:eastAsia="Times New Roman" w:hAnsi="Times New Roman" w:cs="Times New Roman"/>
          <w:sz w:val="20"/>
          <w:szCs w:val="20"/>
          <w:lang w:eastAsia="en-IN"/>
        </w:rPr>
        <w:t>, however, imply certain assumptions. It means that you believe the distribution being sufficiently stable that the expectation and standard deviation estimated from the baseline values is indicative for the next observation’s expectation and standard deviation. In other words: no trends, no day of the week effects no previous outbreaks are allowed in the baseline. Looking at the jump of the upper-bound line after the single peak in June 2016 in Fig 1A one might conclude that this might be a problematic assumption. Furthermore, one assumes the distribution is sufficiently symmetric such that its quantiles can be described as a number of times the standard deviations away from the mean. Finally, by using the usual formula to estimate the standard deviation one assumes that the observations are independent. They are likely not and, hence, the estimated standard deviation might be too small. All these limitations need to be mentioned, and probably are the biggest problem with the method, but could be addressed by semi-simple modelling approaches as done, e.g., in Farrington et al. (1996) for counts.</w:t>
      </w:r>
    </w:p>
    <w:p w14:paraId="6B176C2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the remainder of this post, I shall instead focus on using the mean plus two times standard deviation (</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 rule as I have seen it in too many times – also in other </w:t>
      </w:r>
      <w:proofErr w:type="spellStart"/>
      <w:r w:rsidRPr="004D3699">
        <w:rPr>
          <w:rFonts w:ascii="Times New Roman" w:eastAsia="Times New Roman" w:hAnsi="Times New Roman" w:cs="Times New Roman"/>
          <w:sz w:val="20"/>
          <w:szCs w:val="20"/>
          <w:lang w:eastAsia="en-IN"/>
        </w:rPr>
        <w:t>surveilance</w:t>
      </w:r>
      <w:proofErr w:type="spellEnd"/>
      <w:r w:rsidRPr="004D3699">
        <w:rPr>
          <w:rFonts w:ascii="Times New Roman" w:eastAsia="Times New Roman" w:hAnsi="Times New Roman" w:cs="Times New Roman"/>
          <w:sz w:val="20"/>
          <w:szCs w:val="20"/>
          <w:lang w:eastAsia="en-IN"/>
        </w:rPr>
        <w:t xml:space="preserve"> contexts. The problem we are solving </w:t>
      </w:r>
      <w:r w:rsidRPr="004D3699">
        <w:rPr>
          <w:rFonts w:ascii="Times New Roman" w:eastAsia="Times New Roman" w:hAnsi="Times New Roman" w:cs="Times New Roman"/>
          <w:i/>
          <w:iCs/>
          <w:sz w:val="20"/>
          <w:szCs w:val="20"/>
          <w:lang w:eastAsia="en-IN"/>
        </w:rPr>
        <w:t>is</w:t>
      </w:r>
      <w:r w:rsidRPr="004D3699">
        <w:rPr>
          <w:rFonts w:ascii="Times New Roman" w:eastAsia="Times New Roman" w:hAnsi="Times New Roman" w:cs="Times New Roman"/>
          <w:sz w:val="20"/>
          <w:szCs w:val="20"/>
          <w:lang w:eastAsia="en-IN"/>
        </w:rPr>
        <w:t xml:space="preserve"> a statistical one, so writing that the k-times-</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-rule is not meant to have a probabilistic interpretation leaves the user alone with the choice of threshold. In particular many users will know from their Statistics 101 class that mean plus/minus two times </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 is as a way to get approximately 95% of the mass for anything which has a Gaussian shape. Due to the </w:t>
      </w:r>
      <w:r w:rsidRPr="004D3699">
        <w:rPr>
          <w:rFonts w:ascii="Times New Roman" w:eastAsia="Times New Roman" w:hAnsi="Times New Roman" w:cs="Times New Roman"/>
          <w:b/>
          <w:bCs/>
          <w:sz w:val="24"/>
          <w:szCs w:val="24"/>
          <w:lang w:eastAsia="en-IN"/>
        </w:rPr>
        <w:t>central limit theorem</w:t>
      </w:r>
      <w:r w:rsidRPr="004D3699">
        <w:rPr>
          <w:rFonts w:ascii="Times New Roman" w:eastAsia="Times New Roman" w:hAnsi="Times New Roman" w:cs="Times New Roman"/>
          <w:sz w:val="20"/>
          <w:szCs w:val="20"/>
          <w:lang w:eastAsia="en-IN"/>
        </w:rPr>
        <w:t xml:space="preserve"> this shape will apply to a certain degree.</w:t>
      </w:r>
    </w:p>
    <w:p w14:paraId="7C9D3BB4"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D3699">
        <w:rPr>
          <w:rFonts w:ascii="Times New Roman" w:eastAsia="Times New Roman" w:hAnsi="Times New Roman" w:cs="Times New Roman"/>
          <w:sz w:val="20"/>
          <w:szCs w:val="20"/>
          <w:lang w:eastAsia="en-IN"/>
        </w:rPr>
        <w:t>So</w:t>
      </w:r>
      <w:proofErr w:type="gramEnd"/>
      <w:r w:rsidRPr="004D3699">
        <w:rPr>
          <w:rFonts w:ascii="Times New Roman" w:eastAsia="Times New Roman" w:hAnsi="Times New Roman" w:cs="Times New Roman"/>
          <w:sz w:val="20"/>
          <w:szCs w:val="20"/>
          <w:lang w:eastAsia="en-IN"/>
        </w:rPr>
        <w:t xml:space="preserve"> what we do is to compare an out-of-sample observation with a threshold. In this case the </w:t>
      </w:r>
      <w:r w:rsidRPr="004D3699">
        <w:rPr>
          <w:rFonts w:ascii="Times New Roman" w:eastAsia="Times New Roman" w:hAnsi="Times New Roman" w:cs="Times New Roman"/>
          <w:b/>
          <w:bCs/>
          <w:sz w:val="24"/>
          <w:szCs w:val="24"/>
          <w:lang w:eastAsia="en-IN"/>
        </w:rPr>
        <w:t>prediction interval</w:t>
      </w:r>
      <w:r w:rsidRPr="004D3699">
        <w:rPr>
          <w:rFonts w:ascii="Times New Roman" w:eastAsia="Times New Roman" w:hAnsi="Times New Roman" w:cs="Times New Roman"/>
          <w:sz w:val="20"/>
          <w:szCs w:val="20"/>
          <w:lang w:eastAsia="en-IN"/>
        </w:rPr>
        <w:t xml:space="preserve"> for the observation is the statistical correct object for the comparison. Because the standard deviation is estimated from data, the prediction interval should be based on quantiles of a t-distribution with \(d-1\) </w:t>
      </w:r>
      <w:r w:rsidRPr="004D3699">
        <w:rPr>
          <w:rFonts w:ascii="Times New Roman" w:eastAsia="Times New Roman" w:hAnsi="Times New Roman" w:cs="Times New Roman"/>
          <w:sz w:val="20"/>
          <w:szCs w:val="20"/>
          <w:lang w:eastAsia="en-IN"/>
        </w:rPr>
        <w:lastRenderedPageBreak/>
        <w:t>degrees of freedom. In this case the appropriate upper limit of a two-sided \((1-\</w:t>
      </w:r>
      <w:proofErr w:type="gramStart"/>
      <w:r w:rsidRPr="004D3699">
        <w:rPr>
          <w:rFonts w:ascii="Times New Roman" w:eastAsia="Times New Roman" w:hAnsi="Times New Roman" w:cs="Times New Roman"/>
          <w:sz w:val="20"/>
          <w:szCs w:val="20"/>
          <w:lang w:eastAsia="en-IN"/>
        </w:rPr>
        <w:t>alpha)\</w:t>
      </w:r>
      <w:proofErr w:type="spellStart"/>
      <w:proofErr w:type="gramEnd"/>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100%\) prediction interval is given as</w:t>
      </w:r>
    </w:p>
    <w:p w14:paraId="37086E4A"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\begin{align} \label{</w:t>
      </w:r>
      <w:proofErr w:type="spellStart"/>
      <w:proofErr w:type="gramStart"/>
      <w:r w:rsidRPr="004D3699">
        <w:rPr>
          <w:rFonts w:ascii="Times New Roman" w:eastAsia="Times New Roman" w:hAnsi="Times New Roman" w:cs="Times New Roman"/>
          <w:sz w:val="20"/>
          <w:szCs w:val="20"/>
          <w:lang w:eastAsia="en-IN"/>
        </w:rPr>
        <w:t>eq:predict</w:t>
      </w:r>
      <w:proofErr w:type="gramEnd"/>
      <w:r w:rsidRPr="004D3699">
        <w:rPr>
          <w:rFonts w:ascii="Times New Roman" w:eastAsia="Times New Roman" w:hAnsi="Times New Roman" w:cs="Times New Roman"/>
          <w:sz w:val="20"/>
          <w:szCs w:val="20"/>
          <w:lang w:eastAsia="en-IN"/>
        </w:rPr>
        <w:t>-ul-gauss</w:t>
      </w:r>
      <w:proofErr w:type="spellEnd"/>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\overline{p}_{t_0}(d) +</w:t>
      </w:r>
      <w:r w:rsidRPr="004D3699">
        <w:rPr>
          <w:rFonts w:ascii="Times New Roman" w:eastAsia="Times New Roman" w:hAnsi="Times New Roman" w:cs="Times New Roman"/>
          <w:sz w:val="20"/>
          <w:szCs w:val="20"/>
          <w:lang w:eastAsia="en-IN"/>
        </w:rPr>
        <w:br/>
        <w:t>t_{1-\alpha/2}(d-1)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\sqrt{1+\frac{1}{d}}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s_{t_0}(d),</w:t>
      </w:r>
      <w:r w:rsidRPr="004D3699">
        <w:rPr>
          <w:rFonts w:ascii="Times New Roman" w:eastAsia="Times New Roman" w:hAnsi="Times New Roman" w:cs="Times New Roman"/>
          <w:sz w:val="20"/>
          <w:szCs w:val="20"/>
          <w:lang w:eastAsia="en-IN"/>
        </w:rPr>
        <w:br/>
        <w:t>\end{align}</w:t>
      </w:r>
      <w:r w:rsidRPr="004D3699">
        <w:rPr>
          <w:rFonts w:ascii="Times New Roman" w:eastAsia="Times New Roman" w:hAnsi="Times New Roman" w:cs="Times New Roman"/>
          <w:sz w:val="20"/>
          <w:szCs w:val="20"/>
          <w:lang w:eastAsia="en-IN"/>
        </w:rPr>
        <w:br/>
        <w:t xml:space="preserve">\] where \(t_{1-\alpha/2}(d-1)\) denotes the \(1-\alpha/2\) quantile of the t-distribution with \(d-1\) degrees of freedom. In our case \(\alpha=0.05\) so we need the 97.5% quantile. See for example Chapter 10 of Young and Smith (2005) or the Wikipedia page on </w:t>
      </w:r>
      <w:hyperlink r:id="rId8" w:anchor="Unknown_mean,_unknown_variance" w:tgtFrame="_blank" w:history="1">
        <w:r w:rsidRPr="004D3699">
          <w:rPr>
            <w:rFonts w:ascii="Times New Roman" w:eastAsia="Times New Roman" w:hAnsi="Times New Roman" w:cs="Times New Roman"/>
            <w:color w:val="0000FF"/>
            <w:sz w:val="20"/>
            <w:szCs w:val="20"/>
            <w:u w:val="single"/>
            <w:lang w:eastAsia="en-IN"/>
          </w:rPr>
          <w:t>prediction intervals</w:t>
        </w:r>
      </w:hyperlink>
      <w:r w:rsidRPr="004D3699">
        <w:rPr>
          <w:rFonts w:ascii="Times New Roman" w:eastAsia="Times New Roman" w:hAnsi="Times New Roman" w:cs="Times New Roman"/>
          <w:sz w:val="20"/>
          <w:szCs w:val="20"/>
          <w:lang w:eastAsia="en-IN"/>
        </w:rPr>
        <w:t xml:space="preserve"> for details.</w:t>
      </w:r>
    </w:p>
    <w:p w14:paraId="597BD72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With \(d=15\)</w:t>
      </w:r>
      <w:hyperlink r:id="rId9" w:anchor="fn2" w:tgtFrame="_blank" w:history="1">
        <w:r w:rsidRPr="004D3699">
          <w:rPr>
            <w:rFonts w:ascii="Times New Roman" w:eastAsia="Times New Roman" w:hAnsi="Times New Roman" w:cs="Times New Roman"/>
            <w:color w:val="0000FF"/>
            <w:sz w:val="20"/>
            <w:szCs w:val="20"/>
            <w:u w:val="single"/>
            <w:vertAlign w:val="superscript"/>
            <w:lang w:eastAsia="en-IN"/>
          </w:rPr>
          <w:t>2</w:t>
        </w:r>
      </w:hyperlink>
      <w:r w:rsidRPr="004D3699">
        <w:rPr>
          <w:rFonts w:ascii="Times New Roman" w:eastAsia="Times New Roman" w:hAnsi="Times New Roman" w:cs="Times New Roman"/>
          <w:sz w:val="20"/>
          <w:szCs w:val="20"/>
          <w:lang w:eastAsia="en-IN"/>
        </w:rPr>
        <w:t xml:space="preserve"> the upper limit of a one-sided 97.5% prediction interval would have the multiplication factor 2.22 on the estimated standard deviation. </w:t>
      </w:r>
      <w:proofErr w:type="gramStart"/>
      <w:r w:rsidRPr="004D3699">
        <w:rPr>
          <w:rFonts w:ascii="Times New Roman" w:eastAsia="Times New Roman" w:hAnsi="Times New Roman" w:cs="Times New Roman"/>
          <w:sz w:val="20"/>
          <w:szCs w:val="20"/>
          <w:lang w:eastAsia="en-IN"/>
        </w:rPr>
        <w:t>Thus</w:t>
      </w:r>
      <w:proofErr w:type="gramEnd"/>
      <w:r w:rsidRPr="004D3699">
        <w:rPr>
          <w:rFonts w:ascii="Times New Roman" w:eastAsia="Times New Roman" w:hAnsi="Times New Roman" w:cs="Times New Roman"/>
          <w:sz w:val="20"/>
          <w:szCs w:val="20"/>
          <w:lang w:eastAsia="en-IN"/>
        </w:rPr>
        <w:t xml:space="preserve"> using a factor of 2 instead means your procedure is slightly more sensitive than a the possibly anticipated 2.5% false alarm probability. Calculations show that the false alarm probability under the null hypothesis is 3.7% (assuming the Gaussian assumption holds). Altogether, one can say that this in the \(d=15\) case, for the sake of simplicity, the difference appears ignorable. Had \(d\) been smaller the difference becomes more relevant though.</w:t>
      </w:r>
    </w:p>
    <w:p w14:paraId="7EF933C6"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3</w:t>
      </w:r>
    </w:p>
    <w:p w14:paraId="39443FDF"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I’m not sure I got the point, but one problem is that if your baseline consists of the observations are \(y\), \(y\),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 then the upper limit by your method will also be \(y\), as the estimated standard deviation will be zero. Another problem is if the denominator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is zero, but because this appears to have a regular shape (no reports on weekends), this can just be left out of the modelling?</w:t>
      </w:r>
    </w:p>
    <w:p w14:paraId="0A531B1E"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4</w:t>
      </w:r>
    </w:p>
    <w:p w14:paraId="3143FDD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reason I find particular troublesome, because it is an argument statisticians hear often. A wider audience expects a </w:t>
      </w:r>
      <w:r w:rsidRPr="004D3699">
        <w:rPr>
          <w:rFonts w:ascii="Times New Roman" w:eastAsia="Times New Roman" w:hAnsi="Times New Roman" w:cs="Times New Roman"/>
          <w:b/>
          <w:bCs/>
          <w:sz w:val="24"/>
          <w:szCs w:val="24"/>
          <w:lang w:eastAsia="en-IN"/>
        </w:rPr>
        <w:t>valid</w:t>
      </w:r>
      <w:r w:rsidRPr="004D3699">
        <w:rPr>
          <w:rFonts w:ascii="Times New Roman" w:eastAsia="Times New Roman" w:hAnsi="Times New Roman" w:cs="Times New Roman"/>
          <w:sz w:val="20"/>
          <w:szCs w:val="20"/>
          <w:lang w:eastAsia="en-IN"/>
        </w:rPr>
        <w:t xml:space="preserve"> statistical method, not more complicated than necessary, but </w:t>
      </w:r>
      <w:r w:rsidRPr="004D3699">
        <w:rPr>
          <w:rFonts w:ascii="Times New Roman" w:eastAsia="Times New Roman" w:hAnsi="Times New Roman" w:cs="Times New Roman"/>
          <w:b/>
          <w:bCs/>
          <w:sz w:val="24"/>
          <w:szCs w:val="24"/>
          <w:lang w:eastAsia="en-IN"/>
        </w:rPr>
        <w:t>sound</w:t>
      </w:r>
      <w:r w:rsidRPr="004D3699">
        <w:rPr>
          <w:rFonts w:ascii="Times New Roman" w:eastAsia="Times New Roman" w:hAnsi="Times New Roman" w:cs="Times New Roman"/>
          <w:sz w:val="20"/>
          <w:szCs w:val="20"/>
          <w:lang w:eastAsia="en-IN"/>
        </w:rPr>
        <w:t xml:space="preserve"> and available within the tools at hand. I argued above </w:t>
      </w:r>
      <w:proofErr w:type="gramStart"/>
      <w:r w:rsidRPr="004D3699">
        <w:rPr>
          <w:rFonts w:ascii="Times New Roman" w:eastAsia="Times New Roman" w:hAnsi="Times New Roman" w:cs="Times New Roman"/>
          <w:sz w:val="20"/>
          <w:szCs w:val="20"/>
          <w:lang w:eastAsia="en-IN"/>
        </w:rPr>
        <w:t>that two times</w:t>
      </w:r>
      <w:proofErr w:type="gramEnd"/>
      <w:r w:rsidRPr="004D3699">
        <w:rPr>
          <w:rFonts w:ascii="Times New Roman" w:eastAsia="Times New Roman" w:hAnsi="Times New Roman" w:cs="Times New Roman"/>
          <w:sz w:val="20"/>
          <w:szCs w:val="20"/>
          <w:lang w:eastAsia="en-IN"/>
        </w:rPr>
        <w:t xml:space="preserve"> standard deviation for proportions might be working, but you implicitly leave a lot of problems for the user to solve due to insufficient statistical modelling. I agree that too complicated might not work, but if -for the sake of pragmatism- we neither inform or quantify potential problems of a </w:t>
      </w:r>
      <w:r w:rsidRPr="004D3699">
        <w:rPr>
          <w:rFonts w:ascii="Times New Roman" w:eastAsia="Times New Roman" w:hAnsi="Times New Roman" w:cs="Times New Roman"/>
          <w:i/>
          <w:iCs/>
          <w:sz w:val="20"/>
          <w:szCs w:val="20"/>
          <w:lang w:eastAsia="en-IN"/>
        </w:rPr>
        <w:t>too simplistic</w:t>
      </w:r>
      <w:r w:rsidRPr="004D3699">
        <w:rPr>
          <w:rFonts w:ascii="Times New Roman" w:eastAsia="Times New Roman" w:hAnsi="Times New Roman" w:cs="Times New Roman"/>
          <w:sz w:val="20"/>
          <w:szCs w:val="20"/>
          <w:lang w:eastAsia="en-IN"/>
        </w:rPr>
        <w:t xml:space="preserve"> solution nor fail to provide something workable which is better, we’ll be out of a job quickly.</w:t>
      </w:r>
    </w:p>
    <w:p w14:paraId="186E77A1"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Can we do better?</w:t>
      </w:r>
    </w:p>
    <w:p w14:paraId="60F010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Initially it appeared natural to either try a data or parameter transformation in order to ensure that the computed upper limit respects the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[0,1]\) bound. However, all suggestions I tried proved problematic one way or the other, e.g., due to small sample sizes. Instead, a simple Bayesian and a simple non-parametric variant are considered.</w:t>
      </w:r>
    </w:p>
    <w:p w14:paraId="74B188F1"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Beta-Binomial</w:t>
      </w:r>
    </w:p>
    <w:p w14:paraId="59DF83BB" w14:textId="0B33395E"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simple approach is to use a conjugate prior-posterior Bayesian updating scheme. Letting \(\pi\) be the true underlying proportion, we assume a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Be}(0.5, 0.5)\) prior for it initially. Observing \(y_{t} \sim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{Bin}(</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\pi)\) for \(t=t_0-d,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t_0\), the posterior for \(\pi\) will be \[</w:t>
      </w:r>
      <w:r w:rsidRPr="004D3699">
        <w:rPr>
          <w:rFonts w:ascii="Times New Roman" w:eastAsia="Times New Roman" w:hAnsi="Times New Roman" w:cs="Times New Roman"/>
          <w:sz w:val="20"/>
          <w:szCs w:val="20"/>
          <w:lang w:eastAsia="en-IN"/>
        </w:rPr>
        <w:br/>
        <w:t>\pi | y_{t_0-d},</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y_{t_0} \sim</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 xml:space="preserve">{Be}\left(0.5 + \sum_{t=t_0-d}^{t_0-1}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0.5 + \sum_{t=t_0-d}^{t_0-1}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)\right)</w:t>
      </w:r>
      <w:r w:rsidRPr="004D3699">
        <w:rPr>
          <w:rFonts w:ascii="Times New Roman" w:eastAsia="Times New Roman" w:hAnsi="Times New Roman" w:cs="Times New Roman"/>
          <w:sz w:val="20"/>
          <w:szCs w:val="20"/>
          <w:lang w:eastAsia="en-IN"/>
        </w:rPr>
        <w:br/>
        <w:t>\] One can then show that the posterior predictive distribution for the next observation, i.e. \(y_{t_0}\), is \[</w:t>
      </w:r>
      <w:r w:rsidRPr="004D3699">
        <w:rPr>
          <w:rFonts w:ascii="Times New Roman" w:eastAsia="Times New Roman" w:hAnsi="Times New Roman" w:cs="Times New Roman"/>
          <w:sz w:val="20"/>
          <w:szCs w:val="20"/>
          <w:lang w:eastAsia="en-IN"/>
        </w:rPr>
        <w:br/>
        <w:t>y_{t_0} | y_{t_0-d},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y_{t_0} \sim</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spellStart"/>
      <w:r w:rsidRPr="004D3699">
        <w:rPr>
          <w:rFonts w:ascii="Times New Roman" w:eastAsia="Times New Roman" w:hAnsi="Times New Roman" w:cs="Times New Roman"/>
          <w:sz w:val="20"/>
          <w:szCs w:val="20"/>
          <w:lang w:eastAsia="en-IN"/>
        </w:rPr>
        <w:t>BeBin</w:t>
      </w:r>
      <w:proofErr w:type="spellEnd"/>
      <w:r w:rsidRPr="004D3699">
        <w:rPr>
          <w:rFonts w:ascii="Times New Roman" w:eastAsia="Times New Roman" w:hAnsi="Times New Roman" w:cs="Times New Roman"/>
          <w:sz w:val="20"/>
          <w:szCs w:val="20"/>
          <w:lang w:eastAsia="en-IN"/>
        </w:rPr>
        <w:t xml:space="preserve">}\left(n_{t_0}, 0.5 + \sum_{t=t_0-d}^{t_0-1}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0.5 + \sum_{t=t_0-d}^{t_0-1}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\right),</w:t>
      </w:r>
      <w:r w:rsidRPr="004D3699">
        <w:rPr>
          <w:rFonts w:ascii="Times New Roman" w:eastAsia="Times New Roman" w:hAnsi="Times New Roman" w:cs="Times New Roman"/>
          <w:sz w:val="20"/>
          <w:szCs w:val="20"/>
          <w:lang w:eastAsia="en-IN"/>
        </w:rPr>
        <w:br/>
        <w:t>\] where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spellStart"/>
      <w:r w:rsidRPr="004D3699">
        <w:rPr>
          <w:rFonts w:ascii="Times New Roman" w:eastAsia="Times New Roman" w:hAnsi="Times New Roman" w:cs="Times New Roman"/>
          <w:sz w:val="20"/>
          <w:szCs w:val="20"/>
          <w:lang w:eastAsia="en-IN"/>
        </w:rPr>
        <w:t>BeBin</w:t>
      </w:r>
      <w:proofErr w:type="spellEnd"/>
      <w:r w:rsidRPr="004D3699">
        <w:rPr>
          <w:rFonts w:ascii="Times New Roman" w:eastAsia="Times New Roman" w:hAnsi="Times New Roman" w:cs="Times New Roman"/>
          <w:sz w:val="20"/>
          <w:szCs w:val="20"/>
          <w:lang w:eastAsia="en-IN"/>
        </w:rPr>
        <w:t xml:space="preserve">}(n, a, b)\) denotes the </w:t>
      </w:r>
      <w:hyperlink r:id="rId10" w:tgtFrame="_blank" w:history="1">
        <w:r w:rsidRPr="004D3699">
          <w:rPr>
            <w:rFonts w:ascii="Times New Roman" w:eastAsia="Times New Roman" w:hAnsi="Times New Roman" w:cs="Times New Roman"/>
            <w:color w:val="0000FF"/>
            <w:sz w:val="20"/>
            <w:szCs w:val="20"/>
            <w:u w:val="single"/>
            <w:lang w:eastAsia="en-IN"/>
          </w:rPr>
          <w:t>beta-binomial distribution</w:t>
        </w:r>
      </w:hyperlink>
      <w:r w:rsidRPr="004D3699">
        <w:rPr>
          <w:rFonts w:ascii="Times New Roman" w:eastAsia="Times New Roman" w:hAnsi="Times New Roman" w:cs="Times New Roman"/>
          <w:sz w:val="20"/>
          <w:szCs w:val="20"/>
          <w:lang w:eastAsia="en-IN"/>
        </w:rPr>
        <w:t xml:space="preserve"> with size parameter \(n\) and </w:t>
      </w:r>
      <w:r w:rsidRPr="004D3699">
        <w:rPr>
          <w:rFonts w:ascii="Times New Roman" w:eastAsia="Times New Roman" w:hAnsi="Times New Roman" w:cs="Times New Roman"/>
          <w:sz w:val="20"/>
          <w:szCs w:val="20"/>
          <w:lang w:eastAsia="en-IN"/>
        </w:rPr>
        <w:lastRenderedPageBreak/>
        <w:t xml:space="preserve">the two shape parameters \(a\) and \(b\) implemented in, e.g., the </w:t>
      </w:r>
      <w:r w:rsidRPr="004D3699">
        <w:rPr>
          <w:rFonts w:ascii="Courier New" w:eastAsia="Times New Roman" w:hAnsi="Courier New" w:cs="Courier New"/>
          <w:color w:val="0000FF"/>
          <w:sz w:val="20"/>
          <w:szCs w:val="20"/>
          <w:u w:val="single"/>
          <w:lang w:eastAsia="en-IN"/>
        </w:rPr>
        <w:t>VGAM</w:t>
      </w:r>
      <w:r w:rsidRPr="004D3699">
        <w:rPr>
          <w:rFonts w:ascii="Times New Roman" w:eastAsia="Times New Roman" w:hAnsi="Times New Roman" w:cs="Times New Roman"/>
          <w:color w:val="0000FF"/>
          <w:sz w:val="20"/>
          <w:szCs w:val="20"/>
          <w:u w:val="single"/>
          <w:lang w:eastAsia="en-IN"/>
        </w:rPr>
        <w:t xml:space="preserve"> package</w:t>
      </w:r>
      <w:r w:rsidRPr="004D3699">
        <w:rPr>
          <w:rFonts w:ascii="Times New Roman" w:eastAsia="Times New Roman" w:hAnsi="Times New Roman" w:cs="Times New Roman"/>
          <w:sz w:val="20"/>
          <w:szCs w:val="20"/>
          <w:lang w:eastAsia="en-IN"/>
        </w:rPr>
        <w:t>. We then use the upper 97.5% quantile of this distribution to define the threshold \(U_{t_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for \(p_{t_0}\) and sound an alarm if \(p_{t_0} &gt; U_{t_0}\).</w:t>
      </w:r>
    </w:p>
    <w:p w14:paraId="6ECD724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simple variant of this procedure is to use a </w:t>
      </w:r>
      <w:r w:rsidRPr="004D3699">
        <w:rPr>
          <w:rFonts w:ascii="Times New Roman" w:eastAsia="Times New Roman" w:hAnsi="Times New Roman" w:cs="Times New Roman"/>
          <w:i/>
          <w:iCs/>
          <w:sz w:val="20"/>
          <w:szCs w:val="20"/>
          <w:lang w:eastAsia="en-IN"/>
        </w:rPr>
        <w:t>plug-in</w:t>
      </w:r>
      <w:r w:rsidRPr="004D3699">
        <w:rPr>
          <w:rFonts w:ascii="Times New Roman" w:eastAsia="Times New Roman" w:hAnsi="Times New Roman" w:cs="Times New Roman"/>
          <w:sz w:val="20"/>
          <w:szCs w:val="20"/>
          <w:lang w:eastAsia="en-IN"/>
        </w:rPr>
        <w:t xml:space="preserve"> type prediction interval by obtaining the upper limit as the 97.5% quantile of the binomial with size parameter \(n_{t_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and probability \(p_{t_0}\). However, this approach ignores all uncertainty originating from the estimation of \(p_{t_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and, hence, is likely to result in somewhat narrower prediction intervals than the Beta-Binomial approach.</w:t>
      </w:r>
    </w:p>
    <w:p w14:paraId="5AA5E35C"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Non-parametric</w:t>
      </w:r>
    </w:p>
    <w:p w14:paraId="29102B0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one-sided 97.5% prediction interval \([0, U]\) based on the continuous values \(p_{t_0-39},\</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xml:space="preserve">, p_{t_0-1}\) without ties is given as (see e.g. Arts, Coolen, and van der Laan (2004) or the Wikipedia entry on </w:t>
      </w:r>
      <w:hyperlink r:id="rId11" w:anchor="Non-parametric_methods" w:tgtFrame="_blank" w:history="1">
        <w:r w:rsidRPr="004D3699">
          <w:rPr>
            <w:rFonts w:ascii="Times New Roman" w:eastAsia="Times New Roman" w:hAnsi="Times New Roman" w:cs="Times New Roman"/>
            <w:color w:val="0000FF"/>
            <w:sz w:val="20"/>
            <w:szCs w:val="20"/>
            <w:u w:val="single"/>
            <w:lang w:eastAsia="en-IN"/>
          </w:rPr>
          <w:t>non-parametric prediction intervals</w:t>
        </w:r>
      </w:hyperlink>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\max(p_{t_0-39},\</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p_{t_0-1}).</w:t>
      </w:r>
      <w:r w:rsidRPr="004D3699">
        <w:rPr>
          <w:rFonts w:ascii="Times New Roman" w:eastAsia="Times New Roman" w:hAnsi="Times New Roman" w:cs="Times New Roman"/>
          <w:sz w:val="20"/>
          <w:szCs w:val="20"/>
          <w:lang w:eastAsia="en-IN"/>
        </w:rPr>
        <w:br/>
        <w:t>\] Hence, an alarm is flagged if \(p_{t_0}&gt; U_{t_0}\). This means we simply compare the current value with the maximum of the baseline values. If we only have \(d=19\) values, then the interval from zero to the maximum of these values would constitute a one-sided 95% prediction interval.</w:t>
      </w:r>
    </w:p>
    <w:p w14:paraId="6C50310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Simulation Study</w:t>
      </w:r>
    </w:p>
    <w:p w14:paraId="5B7649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consider the false alarm proportion of the suggested method (2 times and 4 times standard deviation, as well as the prediction interval method and a beta-binomial approach by simulating from a null model, where \(d+1\) observations are </w:t>
      </w:r>
      <w:proofErr w:type="spellStart"/>
      <w:r w:rsidRPr="004D3699">
        <w:rPr>
          <w:rFonts w:ascii="Times New Roman" w:eastAsia="Times New Roman" w:hAnsi="Times New Roman" w:cs="Times New Roman"/>
          <w:sz w:val="20"/>
          <w:szCs w:val="20"/>
          <w:lang w:eastAsia="en-IN"/>
        </w:rPr>
        <w:t>iid</w:t>
      </w:r>
      <w:proofErr w:type="spellEnd"/>
      <w:r w:rsidRPr="004D3699">
        <w:rPr>
          <w:rFonts w:ascii="Times New Roman" w:eastAsia="Times New Roman" w:hAnsi="Times New Roman" w:cs="Times New Roman"/>
          <w:sz w:val="20"/>
          <w:szCs w:val="20"/>
          <w:lang w:eastAsia="en-IN"/>
        </w:rPr>
        <w:t>. from a binomial distribution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Bin}(25, \pi)\). The first \(d\) observations are used for estimation and then upper limit computed by the algorithm is compared to the last observations. Note: the non-parametric method requires the simulation of 39+1 values. For all methods: If the last observation exceeds the upper limit an alarm is sounded. We will be interested in the false alarm probability, </w:t>
      </w:r>
      <w:proofErr w:type="gramStart"/>
      <w:r w:rsidRPr="004D3699">
        <w:rPr>
          <w:rFonts w:ascii="Times New Roman" w:eastAsia="Times New Roman" w:hAnsi="Times New Roman" w:cs="Times New Roman"/>
          <w:sz w:val="20"/>
          <w:szCs w:val="20"/>
          <w:lang w:eastAsia="en-IN"/>
        </w:rPr>
        <w:t>i.e.</w:t>
      </w:r>
      <w:proofErr w:type="gramEnd"/>
      <w:r w:rsidRPr="004D3699">
        <w:rPr>
          <w:rFonts w:ascii="Times New Roman" w:eastAsia="Times New Roman" w:hAnsi="Times New Roman" w:cs="Times New Roman"/>
          <w:sz w:val="20"/>
          <w:szCs w:val="20"/>
          <w:lang w:eastAsia="en-IN"/>
        </w:rPr>
        <w:t xml:space="preserve"> the probability that an alarm is sounded even though we know that the last observation originates from the same model as the baseline parameters. For the methods using a 97.5% one-sided prediction interval, we expect this false error probability to be 2.5%.</w:t>
      </w:r>
    </w:p>
    <w:p w14:paraId="6401446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function implementing the six algorithms to compare looks as follows:</w:t>
      </w:r>
    </w:p>
    <w:p w14:paraId="1FAA06E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99">
        <w:rPr>
          <w:rFonts w:ascii="Courier New" w:eastAsia="Times New Roman" w:hAnsi="Courier New" w:cs="Courier New"/>
          <w:sz w:val="20"/>
          <w:szCs w:val="20"/>
          <w:lang w:eastAsia="en-IN"/>
        </w:rPr>
        <w:t>algo_sysu_all</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function(</w:t>
      </w:r>
      <w:proofErr w:type="gramEnd"/>
      <w:r w:rsidRPr="004D3699">
        <w:rPr>
          <w:rFonts w:ascii="Courier New" w:eastAsia="Times New Roman" w:hAnsi="Courier New" w:cs="Courier New"/>
          <w:sz w:val="20"/>
          <w:szCs w:val="20"/>
          <w:lang w:eastAsia="en-IN"/>
        </w:rPr>
        <w:t>y, n, t0, d) {</w:t>
      </w:r>
    </w:p>
    <w:p w14:paraId="58D86DF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proofErr w:type="gramStart"/>
      <w:r w:rsidRPr="004D3699">
        <w:rPr>
          <w:rFonts w:ascii="Courier New" w:eastAsia="Times New Roman" w:hAnsi="Courier New" w:cs="Courier New"/>
          <w:sz w:val="20"/>
          <w:szCs w:val="20"/>
          <w:lang w:eastAsia="en-IN"/>
        </w:rPr>
        <w:t>stopifnot</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t0-d &gt; 0)</w:t>
      </w:r>
    </w:p>
    <w:p w14:paraId="01FF7B9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413528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 xml:space="preserve"> &lt;- (t0-</w:t>
      </w:r>
      <w:proofErr w:type="gramStart"/>
      <w:r w:rsidRPr="004D3699">
        <w:rPr>
          <w:rFonts w:ascii="Courier New" w:eastAsia="Times New Roman" w:hAnsi="Courier New" w:cs="Courier New"/>
          <w:sz w:val="20"/>
          <w:szCs w:val="20"/>
          <w:lang w:eastAsia="en-IN"/>
        </w:rPr>
        <w:t>1):(</w:t>
      </w:r>
      <w:proofErr w:type="gramEnd"/>
      <w:r w:rsidRPr="004D3699">
        <w:rPr>
          <w:rFonts w:ascii="Courier New" w:eastAsia="Times New Roman" w:hAnsi="Courier New" w:cs="Courier New"/>
          <w:sz w:val="20"/>
          <w:szCs w:val="20"/>
          <w:lang w:eastAsia="en-IN"/>
        </w:rPr>
        <w:t>t0-d)</w:t>
      </w:r>
    </w:p>
    <w:p w14:paraId="2F4E262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baseline &lt;- p[</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641BB10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m &lt;- mean(baseline)</w:t>
      </w:r>
    </w:p>
    <w:p w14:paraId="1563AFE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sd</w:t>
      </w:r>
      <w:proofErr w:type="spellEnd"/>
      <w:r w:rsidRPr="004D3699">
        <w:rPr>
          <w:rFonts w:ascii="Courier New" w:eastAsia="Times New Roman" w:hAnsi="Courier New" w:cs="Courier New"/>
          <w:sz w:val="20"/>
          <w:szCs w:val="20"/>
          <w:lang w:eastAsia="en-IN"/>
        </w:rPr>
        <w:t xml:space="preserve"> &lt;- </w:t>
      </w:r>
      <w:proofErr w:type="spellStart"/>
      <w:r w:rsidRPr="004D3699">
        <w:rPr>
          <w:rFonts w:ascii="Courier New" w:eastAsia="Times New Roman" w:hAnsi="Courier New" w:cs="Courier New"/>
          <w:sz w:val="20"/>
          <w:szCs w:val="20"/>
          <w:lang w:eastAsia="en-IN"/>
        </w:rPr>
        <w:t>sd</w:t>
      </w:r>
      <w:proofErr w:type="spellEnd"/>
      <w:r w:rsidRPr="004D3699">
        <w:rPr>
          <w:rFonts w:ascii="Courier New" w:eastAsia="Times New Roman" w:hAnsi="Courier New" w:cs="Courier New"/>
          <w:sz w:val="20"/>
          <w:szCs w:val="20"/>
          <w:lang w:eastAsia="en-IN"/>
        </w:rPr>
        <w:t>(baseline)</w:t>
      </w:r>
    </w:p>
    <w:p w14:paraId="2C60715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 xml:space="preserve"> &lt;</w:t>
      </w:r>
      <w:proofErr w:type="gramStart"/>
      <w:r w:rsidRPr="004D3699">
        <w:rPr>
          <w:rFonts w:ascii="Courier New" w:eastAsia="Times New Roman" w:hAnsi="Courier New" w:cs="Courier New"/>
          <w:sz w:val="20"/>
          <w:szCs w:val="20"/>
          <w:lang w:eastAsia="en-IN"/>
        </w:rPr>
        <w:t>-  m</w:t>
      </w:r>
      <w:proofErr w:type="gramEnd"/>
      <w:r w:rsidRPr="004D3699">
        <w:rPr>
          <w:rFonts w:ascii="Courier New" w:eastAsia="Times New Roman" w:hAnsi="Courier New" w:cs="Courier New"/>
          <w:sz w:val="20"/>
          <w:szCs w:val="20"/>
          <w:lang w:eastAsia="en-IN"/>
        </w:rPr>
        <w:t xml:space="preserve"> + 2*</w:t>
      </w:r>
      <w:proofErr w:type="spellStart"/>
      <w:r w:rsidRPr="004D3699">
        <w:rPr>
          <w:rFonts w:ascii="Courier New" w:eastAsia="Times New Roman" w:hAnsi="Courier New" w:cs="Courier New"/>
          <w:sz w:val="20"/>
          <w:szCs w:val="20"/>
          <w:lang w:eastAsia="en-IN"/>
        </w:rPr>
        <w:t>sd</w:t>
      </w:r>
      <w:proofErr w:type="spellEnd"/>
    </w:p>
    <w:p w14:paraId="0AE8B5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 xml:space="preserve"> &lt;- m + sqrt(1+1/</w:t>
      </w:r>
      <w:proofErr w:type="gramStart"/>
      <w:r w:rsidRPr="004D3699">
        <w:rPr>
          <w:rFonts w:ascii="Courier New" w:eastAsia="Times New Roman" w:hAnsi="Courier New" w:cs="Courier New"/>
          <w:sz w:val="20"/>
          <w:szCs w:val="20"/>
          <w:lang w:eastAsia="en-IN"/>
        </w:rPr>
        <w:t>d)*</w:t>
      </w:r>
      <w:proofErr w:type="gramEnd"/>
      <w:r w:rsidRPr="004D3699">
        <w:rPr>
          <w:rFonts w:ascii="Courier New" w:eastAsia="Times New Roman" w:hAnsi="Courier New" w:cs="Courier New"/>
          <w:sz w:val="20"/>
          <w:szCs w:val="20"/>
          <w:lang w:eastAsia="en-IN"/>
        </w:rPr>
        <w:t xml:space="preserve">qt(0.975, </w:t>
      </w:r>
      <w:proofErr w:type="spellStart"/>
      <w:r w:rsidRPr="004D3699">
        <w:rPr>
          <w:rFonts w:ascii="Courier New" w:eastAsia="Times New Roman" w:hAnsi="Courier New" w:cs="Courier New"/>
          <w:sz w:val="20"/>
          <w:szCs w:val="20"/>
          <w:lang w:eastAsia="en-IN"/>
        </w:rPr>
        <w:t>df</w:t>
      </w:r>
      <w:proofErr w:type="spellEnd"/>
      <w:r w:rsidRPr="004D3699">
        <w:rPr>
          <w:rFonts w:ascii="Courier New" w:eastAsia="Times New Roman" w:hAnsi="Courier New" w:cs="Courier New"/>
          <w:sz w:val="20"/>
          <w:szCs w:val="20"/>
          <w:lang w:eastAsia="en-IN"/>
        </w:rPr>
        <w:t>=d-1)*</w:t>
      </w:r>
      <w:proofErr w:type="spellStart"/>
      <w:r w:rsidRPr="004D3699">
        <w:rPr>
          <w:rFonts w:ascii="Courier New" w:eastAsia="Times New Roman" w:hAnsi="Courier New" w:cs="Courier New"/>
          <w:sz w:val="20"/>
          <w:szCs w:val="20"/>
          <w:lang w:eastAsia="en-IN"/>
        </w:rPr>
        <w:t>sd</w:t>
      </w:r>
      <w:proofErr w:type="spellEnd"/>
    </w:p>
    <w:p w14:paraId="1C787D8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 xml:space="preserve"> &lt;</w:t>
      </w:r>
      <w:proofErr w:type="gramStart"/>
      <w:r w:rsidRPr="004D3699">
        <w:rPr>
          <w:rFonts w:ascii="Courier New" w:eastAsia="Times New Roman" w:hAnsi="Courier New" w:cs="Courier New"/>
          <w:sz w:val="20"/>
          <w:szCs w:val="20"/>
          <w:lang w:eastAsia="en-IN"/>
        </w:rPr>
        <w:t>-  m</w:t>
      </w:r>
      <w:proofErr w:type="gramEnd"/>
      <w:r w:rsidRPr="004D3699">
        <w:rPr>
          <w:rFonts w:ascii="Courier New" w:eastAsia="Times New Roman" w:hAnsi="Courier New" w:cs="Courier New"/>
          <w:sz w:val="20"/>
          <w:szCs w:val="20"/>
          <w:lang w:eastAsia="en-IN"/>
        </w:rPr>
        <w:t xml:space="preserve"> + 4*</w:t>
      </w:r>
      <w:proofErr w:type="spellStart"/>
      <w:r w:rsidRPr="004D3699">
        <w:rPr>
          <w:rFonts w:ascii="Courier New" w:eastAsia="Times New Roman" w:hAnsi="Courier New" w:cs="Courier New"/>
          <w:sz w:val="20"/>
          <w:szCs w:val="20"/>
          <w:lang w:eastAsia="en-IN"/>
        </w:rPr>
        <w:t>sd</w:t>
      </w:r>
      <w:proofErr w:type="spellEnd"/>
    </w:p>
    <w:p w14:paraId="5573E6F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0DD3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##Beta binomial</w:t>
      </w:r>
    </w:p>
    <w:p w14:paraId="36E42D8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astar</w:t>
      </w:r>
      <w:proofErr w:type="spellEnd"/>
      <w:r w:rsidRPr="004D3699">
        <w:rPr>
          <w:rFonts w:ascii="Courier New" w:eastAsia="Times New Roman" w:hAnsi="Courier New" w:cs="Courier New"/>
          <w:sz w:val="20"/>
          <w:szCs w:val="20"/>
          <w:lang w:eastAsia="en-IN"/>
        </w:rPr>
        <w:t xml:space="preserve"> &lt;- 0.5 + sum(y[</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6AB348A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bstar</w:t>
      </w:r>
      <w:proofErr w:type="spellEnd"/>
      <w:r w:rsidRPr="004D3699">
        <w:rPr>
          <w:rFonts w:ascii="Courier New" w:eastAsia="Times New Roman" w:hAnsi="Courier New" w:cs="Courier New"/>
          <w:sz w:val="20"/>
          <w:szCs w:val="20"/>
          <w:lang w:eastAsia="en-IN"/>
        </w:rPr>
        <w:t xml:space="preserve"> &lt;- 0.5 + sum((n[</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 - y[</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7AF6A9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 xml:space="preserve"> &lt;- </w:t>
      </w:r>
      <w:proofErr w:type="spellStart"/>
      <w:proofErr w:type="gramStart"/>
      <w:r w:rsidRPr="004D3699">
        <w:rPr>
          <w:rFonts w:ascii="Courier New" w:eastAsia="Times New Roman" w:hAnsi="Courier New" w:cs="Courier New"/>
          <w:sz w:val="20"/>
          <w:szCs w:val="20"/>
          <w:lang w:eastAsia="en-IN"/>
        </w:rPr>
        <w:t>qbetabinom.ab</w:t>
      </w:r>
      <w:proofErr w:type="spellEnd"/>
      <w:proofErr w:type="gramEnd"/>
      <w:r w:rsidRPr="004D3699">
        <w:rPr>
          <w:rFonts w:ascii="Courier New" w:eastAsia="Times New Roman" w:hAnsi="Courier New" w:cs="Courier New"/>
          <w:sz w:val="20"/>
          <w:szCs w:val="20"/>
          <w:lang w:eastAsia="en-IN"/>
        </w:rPr>
        <w:t>(q=0.975, size=n[t0], shape1=</w:t>
      </w:r>
      <w:proofErr w:type="spellStart"/>
      <w:r w:rsidRPr="004D3699">
        <w:rPr>
          <w:rFonts w:ascii="Courier New" w:eastAsia="Times New Roman" w:hAnsi="Courier New" w:cs="Courier New"/>
          <w:sz w:val="20"/>
          <w:szCs w:val="20"/>
          <w:lang w:eastAsia="en-IN"/>
        </w:rPr>
        <w:t>astar</w:t>
      </w:r>
      <w:proofErr w:type="spellEnd"/>
      <w:r w:rsidRPr="004D3699">
        <w:rPr>
          <w:rFonts w:ascii="Courier New" w:eastAsia="Times New Roman" w:hAnsi="Courier New" w:cs="Courier New"/>
          <w:sz w:val="20"/>
          <w:szCs w:val="20"/>
          <w:lang w:eastAsia="en-IN"/>
        </w:rPr>
        <w:t>, shape2=</w:t>
      </w:r>
      <w:proofErr w:type="spellStart"/>
      <w:r w:rsidRPr="004D3699">
        <w:rPr>
          <w:rFonts w:ascii="Courier New" w:eastAsia="Times New Roman" w:hAnsi="Courier New" w:cs="Courier New"/>
          <w:sz w:val="20"/>
          <w:szCs w:val="20"/>
          <w:lang w:eastAsia="en-IN"/>
        </w:rPr>
        <w:t>bstar</w:t>
      </w:r>
      <w:proofErr w:type="spellEnd"/>
      <w:r w:rsidRPr="004D3699">
        <w:rPr>
          <w:rFonts w:ascii="Courier New" w:eastAsia="Times New Roman" w:hAnsi="Courier New" w:cs="Courier New"/>
          <w:sz w:val="20"/>
          <w:szCs w:val="20"/>
          <w:lang w:eastAsia="en-IN"/>
        </w:rPr>
        <w:t>) / n[t0]</w:t>
      </w:r>
    </w:p>
    <w:p w14:paraId="63C019A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53C3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##Non-parametric with a 97.5% one-sided PI (needs 39 </w:t>
      </w:r>
      <w:proofErr w:type="spellStart"/>
      <w:r w:rsidRPr="004D3699">
        <w:rPr>
          <w:rFonts w:ascii="Courier New" w:eastAsia="Times New Roman" w:hAnsi="Courier New" w:cs="Courier New"/>
          <w:sz w:val="20"/>
          <w:szCs w:val="20"/>
          <w:lang w:eastAsia="en-IN"/>
        </w:rPr>
        <w:t>obs</w:t>
      </w:r>
      <w:proofErr w:type="spellEnd"/>
      <w:r w:rsidRPr="004D3699">
        <w:rPr>
          <w:rFonts w:ascii="Courier New" w:eastAsia="Times New Roman" w:hAnsi="Courier New" w:cs="Courier New"/>
          <w:sz w:val="20"/>
          <w:szCs w:val="20"/>
          <w:lang w:eastAsia="en-IN"/>
        </w:rPr>
        <w:t>)</w:t>
      </w:r>
    </w:p>
    <w:p w14:paraId="6D04D3D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max( p</w:t>
      </w:r>
      <w:proofErr w:type="gramEnd"/>
      <w:r w:rsidRPr="004D3699">
        <w:rPr>
          <w:rFonts w:ascii="Courier New" w:eastAsia="Times New Roman" w:hAnsi="Courier New" w:cs="Courier New"/>
          <w:sz w:val="20"/>
          <w:szCs w:val="20"/>
          <w:lang w:eastAsia="en-IN"/>
        </w:rPr>
        <w:t>[(t0-1):(t0-39)])</w:t>
      </w:r>
    </w:p>
    <w:p w14:paraId="6D3EC2B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156A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##Prediction interval based on </w:t>
      </w:r>
      <w:proofErr w:type="spellStart"/>
      <w:r w:rsidRPr="004D3699">
        <w:rPr>
          <w:rFonts w:ascii="Courier New" w:eastAsia="Times New Roman" w:hAnsi="Courier New" w:cs="Courier New"/>
          <w:sz w:val="20"/>
          <w:szCs w:val="20"/>
          <w:lang w:eastAsia="en-IN"/>
        </w:rPr>
        <w:t>Binomal</w:t>
      </w:r>
      <w:proofErr w:type="spellEnd"/>
      <w:r w:rsidRPr="004D3699">
        <w:rPr>
          <w:rFonts w:ascii="Courier New" w:eastAsia="Times New Roman" w:hAnsi="Courier New" w:cs="Courier New"/>
          <w:sz w:val="20"/>
          <w:szCs w:val="20"/>
          <w:lang w:eastAsia="en-IN"/>
        </w:rPr>
        <w:t xml:space="preserve"> variance based on Fisher info</w:t>
      </w:r>
    </w:p>
    <w:p w14:paraId="632518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 xml:space="preserve"> &lt;- </w:t>
      </w:r>
      <w:proofErr w:type="spellStart"/>
      <w:proofErr w:type="gramStart"/>
      <w:r w:rsidRPr="004D3699">
        <w:rPr>
          <w:rFonts w:ascii="Courier New" w:eastAsia="Times New Roman" w:hAnsi="Courier New" w:cs="Courier New"/>
          <w:sz w:val="20"/>
          <w:szCs w:val="20"/>
          <w:lang w:eastAsia="en-IN"/>
        </w:rPr>
        <w:t>qbinom</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p=0.975, size=n[t0], prob=m) / n[t0]</w:t>
      </w:r>
    </w:p>
    <w:p w14:paraId="211AB7C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9EDD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lastRenderedPageBreak/>
        <w:t xml:space="preserve">  </w:t>
      </w:r>
      <w:proofErr w:type="gramStart"/>
      <w:r w:rsidRPr="004D3699">
        <w:rPr>
          <w:rFonts w:ascii="Courier New" w:eastAsia="Times New Roman" w:hAnsi="Courier New" w:cs="Courier New"/>
          <w:sz w:val="20"/>
          <w:szCs w:val="20"/>
          <w:lang w:eastAsia="en-IN"/>
        </w:rPr>
        <w:t>return(</w:t>
      </w:r>
      <w:proofErr w:type="spellStart"/>
      <w:proofErr w:type="gramEnd"/>
      <w:r w:rsidRPr="004D3699">
        <w:rPr>
          <w:rFonts w:ascii="Courier New" w:eastAsia="Times New Roman" w:hAnsi="Courier New" w:cs="Courier New"/>
          <w:sz w:val="20"/>
          <w:szCs w:val="20"/>
          <w:lang w:eastAsia="en-IN"/>
        </w:rPr>
        <w:t>data.frame</w:t>
      </w:r>
      <w:proofErr w:type="spellEnd"/>
      <w:r w:rsidRPr="004D3699">
        <w:rPr>
          <w:rFonts w:ascii="Courier New" w:eastAsia="Times New Roman" w:hAnsi="Courier New" w:cs="Courier New"/>
          <w:sz w:val="20"/>
          <w:szCs w:val="20"/>
          <w:lang w:eastAsia="en-IN"/>
        </w:rPr>
        <w:t xml:space="preserve">(t=t0, </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w:t>
      </w:r>
    </w:p>
    <w:p w14:paraId="2CF63E0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7DB7569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can be wrapped into a function performing a single </w:t>
      </w:r>
      <w:proofErr w:type="gramStart"/>
      <w:r w:rsidRPr="004D3699">
        <w:rPr>
          <w:rFonts w:ascii="Times New Roman" w:eastAsia="Times New Roman" w:hAnsi="Times New Roman" w:cs="Times New Roman"/>
          <w:sz w:val="20"/>
          <w:szCs w:val="20"/>
          <w:lang w:eastAsia="en-IN"/>
        </w:rPr>
        <w:t>simulation :</w:t>
      </w:r>
      <w:proofErr w:type="gramEnd"/>
    </w:p>
    <w:p w14:paraId="7D8268F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##Simulate one </w:t>
      </w:r>
      <w:proofErr w:type="spellStart"/>
      <w:r w:rsidRPr="004D3699">
        <w:rPr>
          <w:rFonts w:ascii="Courier New" w:eastAsia="Times New Roman" w:hAnsi="Courier New" w:cs="Courier New"/>
          <w:sz w:val="20"/>
          <w:szCs w:val="20"/>
          <w:lang w:eastAsia="en-IN"/>
        </w:rPr>
        <w:t>iid</w:t>
      </w:r>
      <w:proofErr w:type="spellEnd"/>
      <w:r w:rsidRPr="004D3699">
        <w:rPr>
          <w:rFonts w:ascii="Courier New" w:eastAsia="Times New Roman" w:hAnsi="Courier New" w:cs="Courier New"/>
          <w:sz w:val="20"/>
          <w:szCs w:val="20"/>
          <w:lang w:eastAsia="en-IN"/>
        </w:rPr>
        <w:t xml:space="preserve"> binomial time series</w:t>
      </w:r>
    </w:p>
    <w:p w14:paraId="0F03060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99">
        <w:rPr>
          <w:rFonts w:ascii="Courier New" w:eastAsia="Times New Roman" w:hAnsi="Courier New" w:cs="Courier New"/>
          <w:sz w:val="20"/>
          <w:szCs w:val="20"/>
          <w:lang w:eastAsia="en-IN"/>
        </w:rPr>
        <w:t>simone</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function(</w:t>
      </w:r>
      <w:proofErr w:type="gramEnd"/>
      <w:r w:rsidRPr="004D3699">
        <w:rPr>
          <w:rFonts w:ascii="Courier New" w:eastAsia="Times New Roman" w:hAnsi="Courier New" w:cs="Courier New"/>
          <w:sz w:val="20"/>
          <w:szCs w:val="20"/>
          <w:lang w:eastAsia="en-IN"/>
        </w:rPr>
        <w:t>pi0, d=21, n=25) {</w:t>
      </w:r>
    </w:p>
    <w:p w14:paraId="020B437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max(</w:t>
      </w:r>
      <w:proofErr w:type="gramEnd"/>
      <w:r w:rsidRPr="004D3699">
        <w:rPr>
          <w:rFonts w:ascii="Courier New" w:eastAsia="Times New Roman" w:hAnsi="Courier New" w:cs="Courier New"/>
          <w:sz w:val="20"/>
          <w:szCs w:val="20"/>
          <w:lang w:eastAsia="en-IN"/>
        </w:rPr>
        <w:t>39+1, d+1)</w:t>
      </w:r>
    </w:p>
    <w:p w14:paraId="0526F41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y &lt;- </w:t>
      </w:r>
      <w:proofErr w:type="spellStart"/>
      <w:proofErr w:type="gramStart"/>
      <w:r w:rsidRPr="004D3699">
        <w:rPr>
          <w:rFonts w:ascii="Courier New" w:eastAsia="Times New Roman" w:hAnsi="Courier New" w:cs="Courier New"/>
          <w:sz w:val="20"/>
          <w:szCs w:val="20"/>
          <w:lang w:eastAsia="en-IN"/>
        </w:rPr>
        <w:t>rbinom</w:t>
      </w:r>
      <w:proofErr w:type="spellEnd"/>
      <w:r w:rsidRPr="004D3699">
        <w:rPr>
          <w:rFonts w:ascii="Courier New" w:eastAsia="Times New Roman" w:hAnsi="Courier New" w:cs="Courier New"/>
          <w:sz w:val="20"/>
          <w:szCs w:val="20"/>
          <w:lang w:eastAsia="en-IN"/>
        </w:rPr>
        <w:t>(</w:t>
      </w:r>
      <w:proofErr w:type="spellStart"/>
      <w:proofErr w:type="gramEnd"/>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size=n, prob=pi0)</w:t>
      </w:r>
    </w:p>
    <w:p w14:paraId="426DAB2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 &lt;- </w:t>
      </w:r>
      <w:proofErr w:type="gramStart"/>
      <w:r w:rsidRPr="004D3699">
        <w:rPr>
          <w:rFonts w:ascii="Courier New" w:eastAsia="Times New Roman" w:hAnsi="Courier New" w:cs="Courier New"/>
          <w:sz w:val="20"/>
          <w:szCs w:val="20"/>
          <w:lang w:eastAsia="en-IN"/>
        </w:rPr>
        <w:t>rep(</w:t>
      </w:r>
      <w:proofErr w:type="gramEnd"/>
      <w:r w:rsidRPr="004D3699">
        <w:rPr>
          <w:rFonts w:ascii="Courier New" w:eastAsia="Times New Roman" w:hAnsi="Courier New" w:cs="Courier New"/>
          <w:sz w:val="20"/>
          <w:szCs w:val="20"/>
          <w:lang w:eastAsia="en-IN"/>
        </w:rPr>
        <w:t xml:space="preserve">n, </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w:t>
      </w:r>
    </w:p>
    <w:p w14:paraId="044C07D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73D5D0B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res &lt;- </w:t>
      </w:r>
      <w:proofErr w:type="spellStart"/>
      <w:r w:rsidRPr="004D3699">
        <w:rPr>
          <w:rFonts w:ascii="Courier New" w:eastAsia="Times New Roman" w:hAnsi="Courier New" w:cs="Courier New"/>
          <w:sz w:val="20"/>
          <w:szCs w:val="20"/>
          <w:lang w:eastAsia="en-IN"/>
        </w:rPr>
        <w:t>algo_sysu_</w:t>
      </w:r>
      <w:proofErr w:type="gramStart"/>
      <w:r w:rsidRPr="004D3699">
        <w:rPr>
          <w:rFonts w:ascii="Courier New" w:eastAsia="Times New Roman" w:hAnsi="Courier New" w:cs="Courier New"/>
          <w:sz w:val="20"/>
          <w:szCs w:val="20"/>
          <w:lang w:eastAsia="en-IN"/>
        </w:rPr>
        <w:t>all</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y=y, n=n, t0=</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d=d)</w:t>
      </w:r>
    </w:p>
    <w:p w14:paraId="6CB5083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gramStart"/>
      <w:r w:rsidRPr="004D3699">
        <w:rPr>
          <w:rFonts w:ascii="Courier New" w:eastAsia="Times New Roman" w:hAnsi="Courier New" w:cs="Courier New"/>
          <w:sz w:val="20"/>
          <w:szCs w:val="20"/>
          <w:lang w:eastAsia="en-IN"/>
        </w:rPr>
        <w:t>return(</w:t>
      </w:r>
      <w:proofErr w:type="gramEnd"/>
      <w:r w:rsidRPr="004D3699">
        <w:rPr>
          <w:rFonts w:ascii="Courier New" w:eastAsia="Times New Roman" w:hAnsi="Courier New" w:cs="Courier New"/>
          <w:sz w:val="20"/>
          <w:szCs w:val="20"/>
          <w:lang w:eastAsia="en-IN"/>
        </w:rPr>
        <w:t>c(</w:t>
      </w:r>
      <w:proofErr w:type="spellStart"/>
      <w:r w:rsidRPr="004D3699">
        <w:rPr>
          <w:rFonts w:ascii="Courier New" w:eastAsia="Times New Roman" w:hAnsi="Courier New" w:cs="Courier New"/>
          <w:sz w:val="20"/>
          <w:szCs w:val="20"/>
          <w:lang w:eastAsia="en-IN"/>
        </w:rPr>
        <w:t>twosd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res$U_twosd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foursd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res$U_foursd</w:t>
      </w:r>
      <w:proofErr w:type="spellEnd"/>
      <w:r w:rsidRPr="004D3699">
        <w:rPr>
          <w:rFonts w:ascii="Courier New" w:eastAsia="Times New Roman" w:hAnsi="Courier New" w:cs="Courier New"/>
          <w:sz w:val="20"/>
          <w:szCs w:val="20"/>
          <w:lang w:eastAsia="en-IN"/>
        </w:rPr>
        <w:t>, pred=</w:t>
      </w:r>
      <w:proofErr w:type="spellStart"/>
      <w:r w:rsidRPr="004D3699">
        <w:rPr>
          <w:rFonts w:ascii="Courier New" w:eastAsia="Times New Roman" w:hAnsi="Courier New" w:cs="Courier New"/>
          <w:sz w:val="20"/>
          <w:szCs w:val="20"/>
          <w:lang w:eastAsia="en-IN"/>
        </w:rPr>
        <w:t>res$U_pred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betabinom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res$U_betabinom</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nonpar</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res$U_nonpar</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res$U_binom</w:t>
      </w:r>
      <w:proofErr w:type="spellEnd"/>
      <w:r w:rsidRPr="004D3699">
        <w:rPr>
          <w:rFonts w:ascii="Courier New" w:eastAsia="Times New Roman" w:hAnsi="Courier New" w:cs="Courier New"/>
          <w:sz w:val="20"/>
          <w:szCs w:val="20"/>
          <w:lang w:eastAsia="en-IN"/>
        </w:rPr>
        <w:t>) &lt; p[</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w:t>
      </w:r>
    </w:p>
    <w:p w14:paraId="7809436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166BB8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then perform the simulation study using several cores using the </w:t>
      </w:r>
      <w:r w:rsidRPr="004D3699">
        <w:rPr>
          <w:rFonts w:ascii="Courier New" w:eastAsia="Times New Roman" w:hAnsi="Courier New" w:cs="Courier New"/>
          <w:sz w:val="20"/>
          <w:szCs w:val="20"/>
          <w:lang w:eastAsia="en-IN"/>
        </w:rPr>
        <w:t>future</w:t>
      </w:r>
      <w:r w:rsidRPr="004D3699">
        <w:rPr>
          <w:rFonts w:ascii="Times New Roman" w:eastAsia="Times New Roman" w:hAnsi="Times New Roman" w:cs="Times New Roman"/>
          <w:sz w:val="20"/>
          <w:szCs w:val="20"/>
          <w:lang w:eastAsia="en-IN"/>
        </w:rPr>
        <w:t xml:space="preserve"> and </w:t>
      </w:r>
      <w:proofErr w:type="spellStart"/>
      <w:proofErr w:type="gramStart"/>
      <w:r w:rsidRPr="004D3699">
        <w:rPr>
          <w:rFonts w:ascii="Courier New" w:eastAsia="Times New Roman" w:hAnsi="Courier New" w:cs="Courier New"/>
          <w:sz w:val="20"/>
          <w:szCs w:val="20"/>
          <w:lang w:eastAsia="en-IN"/>
        </w:rPr>
        <w:t>future.apply</w:t>
      </w:r>
      <w:proofErr w:type="spellEnd"/>
      <w:proofErr w:type="gramEnd"/>
      <w:r w:rsidRPr="004D3699">
        <w:rPr>
          <w:rFonts w:ascii="Times New Roman" w:eastAsia="Times New Roman" w:hAnsi="Times New Roman" w:cs="Times New Roman"/>
          <w:sz w:val="20"/>
          <w:szCs w:val="20"/>
          <w:lang w:eastAsia="en-IN"/>
        </w:rPr>
        <w:t xml:space="preserve"> package:</w:t>
      </w:r>
    </w:p>
    <w:p w14:paraId="3D8D6C15"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25280AE5" wp14:editId="0C36B7FB">
            <wp:extent cx="43434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5782B5B"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2: False positive probability for different \(\pi\) values each estimated by 10,000 Monte Carlo simulations. </w:t>
      </w:r>
    </w:p>
    <w:p w14:paraId="1E24381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the figure we see that both the </w:t>
      </w:r>
      <w:proofErr w:type="gramStart"/>
      <w:r w:rsidRPr="004D3699">
        <w:rPr>
          <w:rFonts w:ascii="Times New Roman" w:eastAsia="Times New Roman" w:hAnsi="Times New Roman" w:cs="Times New Roman"/>
          <w:sz w:val="20"/>
          <w:szCs w:val="20"/>
          <w:lang w:eastAsia="en-IN"/>
        </w:rPr>
        <w:t>two and four times</w:t>
      </w:r>
      <w:proofErr w:type="gramEnd"/>
      <w:r w:rsidRPr="004D3699">
        <w:rPr>
          <w:rFonts w:ascii="Times New Roman" w:eastAsia="Times New Roman" w:hAnsi="Times New Roman" w:cs="Times New Roman"/>
          <w:sz w:val="20"/>
          <w:szCs w:val="20"/>
          <w:lang w:eastAsia="en-IN"/>
        </w:rPr>
        <w:t xml:space="preserve"> standard deviation approach (</w:t>
      </w:r>
      <w:proofErr w:type="spellStart"/>
      <w:r w:rsidRPr="004D3699">
        <w:rPr>
          <w:rFonts w:ascii="Times New Roman" w:eastAsia="Times New Roman" w:hAnsi="Times New Roman" w:cs="Times New Roman"/>
          <w:sz w:val="20"/>
          <w:szCs w:val="20"/>
          <w:lang w:eastAsia="en-IN"/>
        </w:rPr>
        <w:t>twosd</w:t>
      </w:r>
      <w:proofErr w:type="spellEnd"/>
      <w:r w:rsidRPr="004D3699">
        <w:rPr>
          <w:rFonts w:ascii="Times New Roman" w:eastAsia="Times New Roman" w:hAnsi="Times New Roman" w:cs="Times New Roman"/>
          <w:sz w:val="20"/>
          <w:szCs w:val="20"/>
          <w:lang w:eastAsia="en-IN"/>
        </w:rPr>
        <w:t xml:space="preserve">, </w:t>
      </w:r>
      <w:proofErr w:type="spellStart"/>
      <w:r w:rsidRPr="004D3699">
        <w:rPr>
          <w:rFonts w:ascii="Times New Roman" w:eastAsia="Times New Roman" w:hAnsi="Times New Roman" w:cs="Times New Roman"/>
          <w:sz w:val="20"/>
          <w:szCs w:val="20"/>
          <w:lang w:eastAsia="en-IN"/>
        </w:rPr>
        <w:t>foursd</w:t>
      </w:r>
      <w:proofErr w:type="spellEnd"/>
      <w:r w:rsidRPr="004D3699">
        <w:rPr>
          <w:rFonts w:ascii="Times New Roman" w:eastAsia="Times New Roman" w:hAnsi="Times New Roman" w:cs="Times New Roman"/>
          <w:sz w:val="20"/>
          <w:szCs w:val="20"/>
          <w:lang w:eastAsia="en-IN"/>
        </w:rPr>
        <w:t xml:space="preserve">) as well as the approach based on the 97.5% predictive distribution in a Gaussian setting (pred) have a varying FAP over the range of true proportions: The smaller \(\pi\) the higher the FAP. The FAP can be as high as 7% instead of the nominal 2.5%. When monitoring 145 time points this means that we will on average see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145\</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0.07\)=10 false alarms, if the process does not change. This is somewhat problematic, because it means that the behaviour of the detection procedure depends on the underlying \(\pi\): the user will get way more false alarm at low \(</w:t>
      </w:r>
      <w:proofErr w:type="gramStart"/>
      <w:r w:rsidRPr="004D3699">
        <w:rPr>
          <w:rFonts w:ascii="Times New Roman" w:eastAsia="Times New Roman" w:hAnsi="Times New Roman" w:cs="Times New Roman"/>
          <w:sz w:val="20"/>
          <w:szCs w:val="20"/>
          <w:lang w:eastAsia="en-IN"/>
        </w:rPr>
        <w:t>\pi\)‘</w:t>
      </w:r>
      <w:proofErr w:type="gramEnd"/>
      <w:r w:rsidRPr="004D3699">
        <w:rPr>
          <w:rFonts w:ascii="Times New Roman" w:eastAsia="Times New Roman" w:hAnsi="Times New Roman" w:cs="Times New Roman"/>
          <w:sz w:val="20"/>
          <w:szCs w:val="20"/>
          <w:lang w:eastAsia="en-IN"/>
        </w:rPr>
        <w:t>s than possibly expecting. Altogether, it appears better to use a slightly higher threshold than 2. However, \(k=4\) looks awfully conservative!</w:t>
      </w:r>
    </w:p>
    <w:p w14:paraId="6E87E7A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All considered procedures dip down to a FAP of 0% for \(\pi\) near 100%, which means no alarms are sounded here. This is related to the fact that if \(U_{t_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n_{t_0}\) than because \(p_{t_0} &gt; U_{t_0}\) is required before an alarm will be sounded, no alarm is possible. Furthermore, both the beta-binomial, the binomial variant and the non-parametric procedure have FAPs slightly lower than the nominal 2.5%. This is again related to the discreteness of the problem: It might not be possible to find an integer limit \(U\) such that the CDF at \(U\) is exactly 97.5%, i.e. usually \(F(q</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0.975})&gt;0.975\). Because we only sound alarms if \(y_{t_0} &gt; U\), i.e. the probability for this to occur is even smaller, namely, \(1-F(q</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0.975}+1)\).</w:t>
      </w:r>
    </w:p>
    <w:p w14:paraId="6ECFA9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Note that in the above simulation study the binomial and beta-binomial models are in advantage, because the model used to simulate data is identical and closely identical, respectively, to how data are simulated. In order to make the simulation more comprehensive we investigate an additional scenario where the marginal distribution are binomial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Bin}(25, 0.215)\), but are correlated</w:t>
      </w:r>
      <w:hyperlink r:id="rId13" w:anchor="fn3" w:tgtFrame="_blank" w:history="1">
        <w:r w:rsidRPr="004D3699">
          <w:rPr>
            <w:rFonts w:ascii="Times New Roman" w:eastAsia="Times New Roman" w:hAnsi="Times New Roman" w:cs="Times New Roman"/>
            <w:color w:val="0000FF"/>
            <w:sz w:val="20"/>
            <w:szCs w:val="20"/>
            <w:u w:val="single"/>
            <w:vertAlign w:val="superscript"/>
            <w:lang w:eastAsia="en-IN"/>
          </w:rPr>
          <w:t>3</w:t>
        </w:r>
      </w:hyperlink>
      <w:r w:rsidRPr="004D3699">
        <w:rPr>
          <w:rFonts w:ascii="Times New Roman" w:eastAsia="Times New Roman" w:hAnsi="Times New Roman" w:cs="Times New Roman"/>
          <w:sz w:val="20"/>
          <w:szCs w:val="20"/>
          <w:lang w:eastAsia="en-IN"/>
        </w:rPr>
        <w:t>. We simulate variables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using an \(</w:t>
      </w:r>
      <w:proofErr w:type="gramStart"/>
      <w:r w:rsidRPr="004D3699">
        <w:rPr>
          <w:rFonts w:ascii="Times New Roman" w:eastAsia="Times New Roman" w:hAnsi="Times New Roman" w:cs="Times New Roman"/>
          <w:sz w:val="20"/>
          <w:szCs w:val="20"/>
          <w:lang w:eastAsia="en-IN"/>
        </w:rPr>
        <w:t>AR(</w:t>
      </w:r>
      <w:proofErr w:type="gramEnd"/>
      <w:r w:rsidRPr="004D3699">
        <w:rPr>
          <w:rFonts w:ascii="Times New Roman" w:eastAsia="Times New Roman" w:hAnsi="Times New Roman" w:cs="Times New Roman"/>
          <w:sz w:val="20"/>
          <w:szCs w:val="20"/>
          <w:lang w:eastAsia="en-IN"/>
        </w:rPr>
        <w:t>1)\) process with parameter \(\rho\), \(|\rho| &lt; 1\), i.e. \[</w:t>
      </w:r>
      <w:r w:rsidRPr="004D3699">
        <w:rPr>
          <w:rFonts w:ascii="Times New Roman" w:eastAsia="Times New Roman" w:hAnsi="Times New Roman" w:cs="Times New Roman"/>
          <w:sz w:val="20"/>
          <w:szCs w:val="20"/>
          <w:lang w:eastAsia="en-IN"/>
        </w:rPr>
        <w:br/>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 y_{t-1}^* \sim \rho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y_{t-1}^* + \</w:t>
      </w:r>
      <w:proofErr w:type="spellStart"/>
      <w:r w:rsidRPr="004D3699">
        <w:rPr>
          <w:rFonts w:ascii="Times New Roman" w:eastAsia="Times New Roman" w:hAnsi="Times New Roman" w:cs="Times New Roman"/>
          <w:sz w:val="20"/>
          <w:szCs w:val="20"/>
          <w:lang w:eastAsia="en-IN"/>
        </w:rPr>
        <w:t>epsilon_t</w:t>
      </w:r>
      <w:proofErr w:type="spellEnd"/>
      <w:r w:rsidRPr="004D3699">
        <w:rPr>
          <w:rFonts w:ascii="Times New Roman" w:eastAsia="Times New Roman" w:hAnsi="Times New Roman" w:cs="Times New Roman"/>
          <w:sz w:val="20"/>
          <w:szCs w:val="20"/>
          <w:lang w:eastAsia="en-IN"/>
        </w:rPr>
        <w:t>, \quad t=2,3,\</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 where \(y_1^* \sim N(0,1)\) and \(\</w:t>
      </w:r>
      <w:proofErr w:type="spellStart"/>
      <w:r w:rsidRPr="004D3699">
        <w:rPr>
          <w:rFonts w:ascii="Times New Roman" w:eastAsia="Times New Roman" w:hAnsi="Times New Roman" w:cs="Times New Roman"/>
          <w:sz w:val="20"/>
          <w:szCs w:val="20"/>
          <w:lang w:eastAsia="en-IN"/>
        </w:rPr>
        <w:t>epsilon_t</w:t>
      </w:r>
      <w:proofErr w:type="spellEnd"/>
      <w:r w:rsidRPr="004D3699">
        <w:rPr>
          <w:rFonts w:ascii="Times New Roman" w:eastAsia="Times New Roman" w:hAnsi="Times New Roman" w:cs="Times New Roman"/>
          <w:sz w:val="20"/>
          <w:szCs w:val="20"/>
          <w:lang w:eastAsia="en-IN"/>
        </w:rPr>
        <w:t xml:space="preserve"> \</w:t>
      </w:r>
      <w:proofErr w:type="spellStart"/>
      <w:r w:rsidRPr="004D3699">
        <w:rPr>
          <w:rFonts w:ascii="Times New Roman" w:eastAsia="Times New Roman" w:hAnsi="Times New Roman" w:cs="Times New Roman"/>
          <w:sz w:val="20"/>
          <w:szCs w:val="20"/>
          <w:lang w:eastAsia="en-IN"/>
        </w:rPr>
        <w:t>stackrel</w:t>
      </w:r>
      <w:proofErr w:type="spellEnd"/>
      <w:r w:rsidRPr="004D3699">
        <w:rPr>
          <w:rFonts w:ascii="Times New Roman" w:eastAsia="Times New Roman" w:hAnsi="Times New Roman" w:cs="Times New Roman"/>
          <w:sz w:val="20"/>
          <w:szCs w:val="20"/>
          <w:lang w:eastAsia="en-IN"/>
        </w:rPr>
        <w:t>{\text{</w:t>
      </w:r>
      <w:proofErr w:type="spellStart"/>
      <w:r w:rsidRPr="004D3699">
        <w:rPr>
          <w:rFonts w:ascii="Times New Roman" w:eastAsia="Times New Roman" w:hAnsi="Times New Roman" w:cs="Times New Roman"/>
          <w:sz w:val="20"/>
          <w:szCs w:val="20"/>
          <w:lang w:eastAsia="en-IN"/>
        </w:rPr>
        <w:t>iid</w:t>
      </w:r>
      <w:proofErr w:type="spellEnd"/>
      <w:r w:rsidRPr="004D3699">
        <w:rPr>
          <w:rFonts w:ascii="Times New Roman" w:eastAsia="Times New Roman" w:hAnsi="Times New Roman" w:cs="Times New Roman"/>
          <w:sz w:val="20"/>
          <w:szCs w:val="20"/>
          <w:lang w:eastAsia="en-IN"/>
        </w:rPr>
        <w:t xml:space="preserve">}}{\sim} N(0,1)\). These latent variables are then marginally back-transformed to standard uniforms </w:t>
      </w:r>
      <w:proofErr w:type="gramStart"/>
      <w:r w:rsidRPr="004D3699">
        <w:rPr>
          <w:rFonts w:ascii="Times New Roman" w:eastAsia="Times New Roman" w:hAnsi="Times New Roman" w:cs="Times New Roman"/>
          <w:sz w:val="20"/>
          <w:szCs w:val="20"/>
          <w:lang w:eastAsia="en-IN"/>
        </w:rPr>
        <w:t>\(</w:t>
      </w:r>
      <w:proofErr w:type="spellStart"/>
      <w:proofErr w:type="gramEnd"/>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\sim U(0,1)\) which are then transformed using the quantile function of the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{Bin}(25, 0.215)\) distribution, i.e.</w:t>
      </w:r>
    </w:p>
    <w:p w14:paraId="2F9BAD60"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Courier New" w:eastAsia="Times New Roman" w:hAnsi="Courier New" w:cs="Courier New"/>
          <w:sz w:val="20"/>
          <w:szCs w:val="20"/>
          <w:lang w:eastAsia="en-IN"/>
        </w:rPr>
        <w:t>qbinom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pnorm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ystar</w:t>
      </w:r>
      <w:proofErr w:type="spellEnd"/>
      <w:r w:rsidRPr="004D3699">
        <w:rPr>
          <w:rFonts w:ascii="Courier New" w:eastAsia="Times New Roman" w:hAnsi="Courier New" w:cs="Courier New"/>
          <w:sz w:val="20"/>
          <w:szCs w:val="20"/>
          <w:lang w:eastAsia="en-IN"/>
        </w:rPr>
        <w:t>[t]))</w:t>
      </w:r>
    </w:p>
    <w:p w14:paraId="0257023D" w14:textId="3412C576"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Altogether, this corresponds to a </w:t>
      </w:r>
      <w:r w:rsidRPr="004D3699">
        <w:rPr>
          <w:rFonts w:ascii="Times New Roman" w:eastAsia="Times New Roman" w:hAnsi="Times New Roman" w:cs="Times New Roman"/>
          <w:color w:val="0000FF"/>
          <w:sz w:val="20"/>
          <w:szCs w:val="20"/>
          <w:u w:val="single"/>
          <w:lang w:eastAsia="en-IN"/>
        </w:rPr>
        <w:t>Gaussian copula</w:t>
      </w:r>
      <w:r w:rsidRPr="004D3699">
        <w:rPr>
          <w:rFonts w:ascii="Times New Roman" w:eastAsia="Times New Roman" w:hAnsi="Times New Roman" w:cs="Times New Roman"/>
          <w:sz w:val="20"/>
          <w:szCs w:val="20"/>
          <w:lang w:eastAsia="en-IN"/>
        </w:rPr>
        <w:t xml:space="preserve"> approach to generate correlated random variables with a given marginal distribution. The correlation between the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will not be exactly be \(\rho\) due to the discrete nature of the binomial, but will approach \(\rho\) as \(n\) in the binomial becomes large. Figure 3 shows the results for the false alarm probability based on 10,000 Monte Carlo simulations for marginal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Bin}(25, 0.215)\) distribution and latent \(AR(1)\) one-off-the-diagonal correlation parameter \(\rho\).</w:t>
      </w:r>
    </w:p>
    <w:p w14:paraId="5EFD80C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noProof/>
          <w:sz w:val="20"/>
          <w:szCs w:val="20"/>
          <w:lang w:eastAsia="en-IN"/>
        </w:rPr>
        <w:drawing>
          <wp:inline distT="0" distB="0" distL="0" distR="0" wp14:anchorId="2A3CC1EC" wp14:editId="77E834E0">
            <wp:extent cx="4343400"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3: Equivalent of a false alarm probability by 10,000 Monte Carlo simulation for the algorithms when there is a correlation \(\rho\) on the latent scale, but the marginal mean of all observations is \(\pi=0.215\). </w:t>
      </w:r>
    </w:p>
    <w:p w14:paraId="3E4228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We see that the binomial and beta binomial approaches sound too many alarms as the correlation increases. Same goes for the two times standard deviation and the predictive approach. The non-parametric approach appears to behave slightly better.</w:t>
      </w:r>
    </w:p>
    <w:p w14:paraId="0B2B4276"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Application</w:t>
      </w:r>
    </w:p>
    <w:p w14:paraId="15A16676" w14:textId="7BB38802"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use the </w:t>
      </w:r>
      <w:r w:rsidRPr="004D3699">
        <w:rPr>
          <w:rFonts w:ascii="Times New Roman" w:eastAsia="Times New Roman" w:hAnsi="Times New Roman" w:cs="Times New Roman"/>
          <w:b/>
          <w:bCs/>
          <w:sz w:val="24"/>
          <w:szCs w:val="24"/>
          <w:lang w:eastAsia="en-IN"/>
        </w:rPr>
        <w:t>synthetic acute respiratory infection data</w:t>
      </w:r>
      <w:r w:rsidRPr="004D3699">
        <w:rPr>
          <w:rFonts w:ascii="Times New Roman" w:eastAsia="Times New Roman" w:hAnsi="Times New Roman" w:cs="Times New Roman"/>
          <w:sz w:val="20"/>
          <w:szCs w:val="20"/>
          <w:lang w:eastAsia="en-IN"/>
        </w:rPr>
        <w:t xml:space="preserve"> made available as part of the paper’s </w:t>
      </w:r>
      <w:proofErr w:type="spellStart"/>
      <w:proofErr w:type="gramStart"/>
      <w:r w:rsidRPr="004D3699">
        <w:rPr>
          <w:rFonts w:ascii="Times New Roman" w:eastAsia="Times New Roman" w:hAnsi="Times New Roman" w:cs="Times New Roman"/>
          <w:sz w:val="20"/>
          <w:szCs w:val="20"/>
          <w:lang w:eastAsia="en-IN"/>
        </w:rPr>
        <w:t>SySu</w:t>
      </w:r>
      <w:proofErr w:type="spellEnd"/>
      <w:r w:rsidR="00957E84">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 Figure shows the daily proportions 2017-01-01 until 2017-07-20 for all weekdays as vertical bars. Also shown is the upper threshold \(</w:t>
      </w:r>
      <w:proofErr w:type="spellStart"/>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for six methods discussed above.</w:t>
      </w:r>
    </w:p>
    <w:p w14:paraId="6BE47C2E"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noProof/>
          <w:sz w:val="20"/>
          <w:szCs w:val="20"/>
          <w:lang w:eastAsia="en-IN"/>
        </w:rPr>
        <w:drawing>
          <wp:inline distT="0" distB="0" distL="0" distR="0" wp14:anchorId="224173C8" wp14:editId="4403839E">
            <wp:extent cx="43434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7CDD35"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Figure 4: Upper bound curves for all detection procedures.</w:t>
      </w:r>
    </w:p>
    <w:p w14:paraId="4C3F14B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correlation between \(p_{t}\) and \(p_{t-</w:t>
      </w:r>
      <w:proofErr w:type="gramStart"/>
      <w:r w:rsidRPr="004D3699">
        <w:rPr>
          <w:rFonts w:ascii="Times New Roman" w:eastAsia="Times New Roman" w:hAnsi="Times New Roman" w:cs="Times New Roman"/>
          <w:sz w:val="20"/>
          <w:szCs w:val="20"/>
          <w:lang w:eastAsia="en-IN"/>
        </w:rPr>
        <w:t>1}\</w:t>
      </w:r>
      <w:proofErr w:type="gramEnd"/>
      <w:r w:rsidRPr="004D3699">
        <w:rPr>
          <w:rFonts w:ascii="Times New Roman" w:eastAsia="Times New Roman" w:hAnsi="Times New Roman" w:cs="Times New Roman"/>
          <w:sz w:val="20"/>
          <w:szCs w:val="20"/>
          <w:lang w:eastAsia="en-IN"/>
        </w:rPr>
        <w:t>) in the time series is 0.04, which could be a sign that the synthetic were artificially generated using an independence assumption.</w:t>
      </w:r>
    </w:p>
    <w:p w14:paraId="2B09AD5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all algorithms we see the effect on the upper threshold as spikes enter the baseline values. In particular the non-parametric method, which uses \(d=39\) baseline values, will only sound an alarm during 39 days after time 60, if the proportion is larger than the \(p</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60} = 69.6%\) spike .</w:t>
      </w:r>
    </w:p>
    <w:p w14:paraId="2D4C5AD8"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Discussion</w:t>
      </w:r>
    </w:p>
    <w:p w14:paraId="6545E1B0"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This post discussed how to use statistical process control to monitor a proportion in a syndromic surveillance context. The suitability and performance of Gaussian approximations was discussed: It was shown that the false alarm probability for this approach depends on the level of the considered proportion and that auto-correlation also has a substantial impact on the chart. The investigation in this post were done in order to provide the user of such charts with a guidance on how to choose \(k\).</w:t>
      </w:r>
    </w:p>
    <w:p w14:paraId="44F0193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Altogether, a full scientific analysis would need a more comprehensive simulation study and likely access to the real data, but the point of this post was to substantiate </w:t>
      </w:r>
      <w:proofErr w:type="gramStart"/>
      <w:r w:rsidRPr="004D3699">
        <w:rPr>
          <w:rFonts w:ascii="Times New Roman" w:eastAsia="Times New Roman" w:hAnsi="Times New Roman" w:cs="Times New Roman"/>
          <w:sz w:val="20"/>
          <w:szCs w:val="20"/>
          <w:lang w:eastAsia="en-IN"/>
        </w:rPr>
        <w:t>that statistical problems</w:t>
      </w:r>
      <w:proofErr w:type="gramEnd"/>
      <w:r w:rsidRPr="004D3699">
        <w:rPr>
          <w:rFonts w:ascii="Times New Roman" w:eastAsia="Times New Roman" w:hAnsi="Times New Roman" w:cs="Times New Roman"/>
          <w:sz w:val="20"/>
          <w:szCs w:val="20"/>
          <w:lang w:eastAsia="en-IN"/>
        </w:rPr>
        <w:t xml:space="preserve"> need a statistical investigation. From the simulation results in this post it appears more prudent to use \(k&gt;2\), e.g., the upper limit of a 97.5% one-sided prediction interval would be \(k</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2.22 or \(k\)=3.07 for the upper limit of a 99.5% one-sided prediction interval. Choosing \(k&gt;2\) is also supported by the fact that none of the 204 signals generated by the system were interpreted as an outbreak. A simple fix to avoid confusion could be chop the upper threshold at 100% in the graphics, i.e. to report </w:t>
      </w:r>
      <w:proofErr w:type="gramStart"/>
      <w:r w:rsidRPr="004D3699">
        <w:rPr>
          <w:rFonts w:ascii="Times New Roman" w:eastAsia="Times New Roman" w:hAnsi="Times New Roman" w:cs="Times New Roman"/>
          <w:sz w:val="20"/>
          <w:szCs w:val="20"/>
          <w:lang w:eastAsia="en-IN"/>
        </w:rPr>
        <w:t>\(</w:t>
      </w:r>
      <w:proofErr w:type="spellStart"/>
      <w:proofErr w:type="gramEnd"/>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 \max(1, </w:t>
      </w:r>
      <w:proofErr w:type="spellStart"/>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for the Gaussian based procedures. Better would be to use the predictive approach and let the user choose \(\alpha\) and thus give the parameter choice a probabilistic interpretation. However, binomial and beta-binomial based approaches provide more stable results over the full range of \(\pi\) and are guaranteed to respect the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[0,1]\) support. In particular the </w:t>
      </w:r>
      <w:r w:rsidRPr="004D3699">
        <w:rPr>
          <w:rFonts w:ascii="Times New Roman" w:eastAsia="Times New Roman" w:hAnsi="Times New Roman" w:cs="Times New Roman"/>
          <w:b/>
          <w:bCs/>
          <w:sz w:val="24"/>
          <w:szCs w:val="24"/>
          <w:lang w:eastAsia="en-IN"/>
        </w:rPr>
        <w:t>non-parametric method looks promising</w:t>
      </w:r>
      <w:r w:rsidRPr="004D3699">
        <w:rPr>
          <w:rFonts w:ascii="Times New Roman" w:eastAsia="Times New Roman" w:hAnsi="Times New Roman" w:cs="Times New Roman"/>
          <w:sz w:val="20"/>
          <w:szCs w:val="20"/>
          <w:lang w:eastAsia="en-IN"/>
        </w:rPr>
        <w:t xml:space="preserve"> despite being even simpler than the proposed k-</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-system. All in all, addressing trends or other type of auto-correlation as well as previous outbreaks in the baseline appears to be important in order to get a more specific syndromic surveillance system – see Sect. 3.4 of Salmon, Schumacher, and </w:t>
      </w:r>
      <w:proofErr w:type="spellStart"/>
      <w:r w:rsidRPr="004D3699">
        <w:rPr>
          <w:rFonts w:ascii="Times New Roman" w:eastAsia="Times New Roman" w:hAnsi="Times New Roman" w:cs="Times New Roman"/>
          <w:sz w:val="20"/>
          <w:szCs w:val="20"/>
          <w:lang w:eastAsia="en-IN"/>
        </w:rPr>
        <w:t>Höhle</w:t>
      </w:r>
      <w:proofErr w:type="spellEnd"/>
      <w:r w:rsidRPr="004D3699">
        <w:rPr>
          <w:rFonts w:ascii="Times New Roman" w:eastAsia="Times New Roman" w:hAnsi="Times New Roman" w:cs="Times New Roman"/>
          <w:sz w:val="20"/>
          <w:szCs w:val="20"/>
          <w:lang w:eastAsia="en-IN"/>
        </w:rPr>
        <w:t xml:space="preserve"> (2016) for how this could look. I invite you to read the Sarma et al. (2018) paper to form your own impressions.</w:t>
      </w:r>
    </w:p>
    <w:p w14:paraId="4A05467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Acknowledgments</w:t>
      </w:r>
    </w:p>
    <w:p w14:paraId="476D7FD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contents of this post were discussed as part of the Statistical Consultancy M.Sc. course at the Department of Mathematics, Stockholm University. I thank Jan-Olov Persson, Rolf Sundberg and the students of the course for their comments, remarks and questions.</w:t>
      </w:r>
    </w:p>
    <w:p w14:paraId="4ECDA2C2"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Conflicts of Interest</w:t>
      </w:r>
    </w:p>
    <w:p w14:paraId="41E9D5E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I have previously worked for the Robert Koch Institute. Some of the co-authors of the Sarma et al. (2018) paper are previous colleagues, which I have published together with.</w:t>
      </w:r>
    </w:p>
    <w:p w14:paraId="72BC07DC" w14:textId="04FF8079" w:rsidR="004D3699" w:rsidRPr="004D3699" w:rsidRDefault="004D3699" w:rsidP="00030E68">
      <w:pPr>
        <w:spacing w:before="100" w:beforeAutospacing="1" w:after="100" w:afterAutospacing="1" w:line="240" w:lineRule="auto"/>
        <w:rPr>
          <w:rFonts w:ascii="Times New Roman" w:eastAsia="Times New Roman" w:hAnsi="Times New Roman" w:cs="Times New Roman"/>
          <w:sz w:val="20"/>
          <w:szCs w:val="20"/>
          <w:lang w:eastAsia="en-IN"/>
        </w:rPr>
      </w:pPr>
    </w:p>
    <w:p w14:paraId="605D52C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C02"/>
    <w:multiLevelType w:val="multilevel"/>
    <w:tmpl w:val="ED9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54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99"/>
    <w:rsid w:val="00030E68"/>
    <w:rsid w:val="0028704C"/>
    <w:rsid w:val="004D1CFF"/>
    <w:rsid w:val="004D3699"/>
    <w:rsid w:val="00683332"/>
    <w:rsid w:val="00957E84"/>
    <w:rsid w:val="009A26D7"/>
    <w:rsid w:val="00BF2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319"/>
  <w15:chartTrackingRefBased/>
  <w15:docId w15:val="{0BD97028-37C9-4A28-9C5D-6807650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7217">
      <w:bodyDiv w:val="1"/>
      <w:marLeft w:val="0"/>
      <w:marRight w:val="0"/>
      <w:marTop w:val="0"/>
      <w:marBottom w:val="0"/>
      <w:divBdr>
        <w:top w:val="none" w:sz="0" w:space="0" w:color="auto"/>
        <w:left w:val="none" w:sz="0" w:space="0" w:color="auto"/>
        <w:bottom w:val="none" w:sz="0" w:space="0" w:color="auto"/>
        <w:right w:val="none" w:sz="0" w:space="0" w:color="auto"/>
      </w:divBdr>
      <w:divsChild>
        <w:div w:id="574247138">
          <w:marLeft w:val="0"/>
          <w:marRight w:val="0"/>
          <w:marTop w:val="0"/>
          <w:marBottom w:val="0"/>
          <w:divBdr>
            <w:top w:val="none" w:sz="0" w:space="0" w:color="auto"/>
            <w:left w:val="none" w:sz="0" w:space="0" w:color="auto"/>
            <w:bottom w:val="none" w:sz="0" w:space="0" w:color="auto"/>
            <w:right w:val="none" w:sz="0" w:space="0" w:color="auto"/>
          </w:divBdr>
        </w:div>
        <w:div w:id="76248511">
          <w:marLeft w:val="0"/>
          <w:marRight w:val="0"/>
          <w:marTop w:val="0"/>
          <w:marBottom w:val="0"/>
          <w:divBdr>
            <w:top w:val="none" w:sz="0" w:space="0" w:color="auto"/>
            <w:left w:val="none" w:sz="0" w:space="0" w:color="auto"/>
            <w:bottom w:val="none" w:sz="0" w:space="0" w:color="auto"/>
            <w:right w:val="none" w:sz="0" w:space="0" w:color="auto"/>
          </w:divBdr>
        </w:div>
        <w:div w:id="1556745450">
          <w:marLeft w:val="0"/>
          <w:marRight w:val="0"/>
          <w:marTop w:val="0"/>
          <w:marBottom w:val="0"/>
          <w:divBdr>
            <w:top w:val="none" w:sz="0" w:space="0" w:color="auto"/>
            <w:left w:val="none" w:sz="0" w:space="0" w:color="auto"/>
            <w:bottom w:val="none" w:sz="0" w:space="0" w:color="auto"/>
            <w:right w:val="none" w:sz="0" w:space="0" w:color="auto"/>
          </w:divBdr>
          <w:divsChild>
            <w:div w:id="1459564479">
              <w:marLeft w:val="0"/>
              <w:marRight w:val="0"/>
              <w:marTop w:val="0"/>
              <w:marBottom w:val="0"/>
              <w:divBdr>
                <w:top w:val="none" w:sz="0" w:space="0" w:color="auto"/>
                <w:left w:val="none" w:sz="0" w:space="0" w:color="auto"/>
                <w:bottom w:val="none" w:sz="0" w:space="0" w:color="auto"/>
                <w:right w:val="none" w:sz="0" w:space="0" w:color="auto"/>
              </w:divBdr>
            </w:div>
            <w:div w:id="1475371730">
              <w:marLeft w:val="0"/>
              <w:marRight w:val="0"/>
              <w:marTop w:val="0"/>
              <w:marBottom w:val="0"/>
              <w:divBdr>
                <w:top w:val="none" w:sz="0" w:space="0" w:color="auto"/>
                <w:left w:val="none" w:sz="0" w:space="0" w:color="auto"/>
                <w:bottom w:val="none" w:sz="0" w:space="0" w:color="auto"/>
                <w:right w:val="none" w:sz="0" w:space="0" w:color="auto"/>
              </w:divBdr>
            </w:div>
            <w:div w:id="665281870">
              <w:marLeft w:val="0"/>
              <w:marRight w:val="0"/>
              <w:marTop w:val="0"/>
              <w:marBottom w:val="0"/>
              <w:divBdr>
                <w:top w:val="none" w:sz="0" w:space="0" w:color="auto"/>
                <w:left w:val="none" w:sz="0" w:space="0" w:color="auto"/>
                <w:bottom w:val="none" w:sz="0" w:space="0" w:color="auto"/>
                <w:right w:val="none" w:sz="0" w:space="0" w:color="auto"/>
              </w:divBdr>
            </w:div>
            <w:div w:id="216668545">
              <w:marLeft w:val="0"/>
              <w:marRight w:val="0"/>
              <w:marTop w:val="0"/>
              <w:marBottom w:val="0"/>
              <w:divBdr>
                <w:top w:val="none" w:sz="0" w:space="0" w:color="auto"/>
                <w:left w:val="none" w:sz="0" w:space="0" w:color="auto"/>
                <w:bottom w:val="none" w:sz="0" w:space="0" w:color="auto"/>
                <w:right w:val="none" w:sz="0" w:space="0" w:color="auto"/>
              </w:divBdr>
            </w:div>
            <w:div w:id="2079786543">
              <w:marLeft w:val="0"/>
              <w:marRight w:val="0"/>
              <w:marTop w:val="0"/>
              <w:marBottom w:val="0"/>
              <w:divBdr>
                <w:top w:val="none" w:sz="0" w:space="0" w:color="auto"/>
                <w:left w:val="none" w:sz="0" w:space="0" w:color="auto"/>
                <w:bottom w:val="none" w:sz="0" w:space="0" w:color="auto"/>
                <w:right w:val="none" w:sz="0" w:space="0" w:color="auto"/>
              </w:divBdr>
            </w:div>
            <w:div w:id="1221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iction_interval" TargetMode="External"/><Relationship Id="rId13" Type="http://schemas.openxmlformats.org/officeDocument/2006/relationships/hyperlink" Target="http://staff.math.su.se/hoehle/blog/2018/10/29/gauss.html" TargetMode="External"/><Relationship Id="rId3" Type="http://schemas.openxmlformats.org/officeDocument/2006/relationships/settings" Target="settings.xml"/><Relationship Id="rId7" Type="http://schemas.openxmlformats.org/officeDocument/2006/relationships/hyperlink" Target="http://staff.math.su.se/hoehle/blog/2018/10/29/gauss.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rediction_interva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Beta-binomial_distribution" TargetMode="External"/><Relationship Id="rId4" Type="http://schemas.openxmlformats.org/officeDocument/2006/relationships/webSettings" Target="webSettings.xml"/><Relationship Id="rId9" Type="http://schemas.openxmlformats.org/officeDocument/2006/relationships/hyperlink" Target="http://staff.math.su.se/hoehle/blog/2018/10/29/gaus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3061</Words>
  <Characters>17448</Characters>
  <Application>Microsoft Office Word</Application>
  <DocSecurity>0</DocSecurity>
  <Lines>145</Lines>
  <Paragraphs>40</Paragraphs>
  <ScaleCrop>false</ScaleCrop>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2021-12-10T06:39:00Z</dcterms:created>
  <dcterms:modified xsi:type="dcterms:W3CDTF">2022-07-22T06:59:00Z</dcterms:modified>
</cp:coreProperties>
</file>