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529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more posts than I care to admit, </w:t>
      </w:r>
      <w:proofErr w:type="gramStart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one starts</w:t>
      </w:r>
      <w:proofErr w:type="gram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innocently enough with a tweet by </w:t>
      </w:r>
      <w:hyperlink r:id="rId4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@gshotwell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3AF537B" w14:textId="77777777" w:rsidR="00D16041" w:rsidRPr="00D16041" w:rsidRDefault="00D16041" w:rsidP="00D16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Is there a reference document somewhere of which </w:t>
      </w:r>
      <w:proofErr w:type="spellStart"/>
      <w:r w:rsidRPr="00D16041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dplyr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commands work on various database backends? </w:t>
      </w:r>
      <w:hyperlink r:id="rId5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</w:t>
        </w:r>
        <w:proofErr w:type="gramStart"/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rstats</w:t>
        </w:r>
        <w:proofErr w:type="gramEnd"/>
      </w:hyperlink>
    </w:p>
    <w:p w14:paraId="18226A81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— Gordon Shotwell (</w:t>
      </w:r>
      <w:hyperlink r:id="rId6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@gshotwell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hyperlink r:id="rId7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April 9, 2019</w:t>
        </w:r>
      </w:hyperlink>
    </w:p>
    <w:p w14:paraId="7B5CA203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use at least 4 different </w:t>
      </w: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d[b]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backends every week, this same question surfaces in my own noggin on occasion and I couldn’t resist going all Columbo on this mystery.</w:t>
      </w:r>
    </w:p>
    <w:p w14:paraId="2BC05469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should note that if you only really care about the backends that come with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8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@paleolimbot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you covered </w:t>
      </w:r>
      <w:hyperlink r:id="rId9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with this post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also shows you the translated SQL!</w:t>
      </w:r>
    </w:p>
    <w:p w14:paraId="0C731BC9" w14:textId="77777777" w:rsidR="00D16041" w:rsidRPr="00D16041" w:rsidRDefault="00D16041" w:rsidP="00D16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0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Executing The Plan</w:t>
      </w:r>
    </w:p>
    <w:p w14:paraId="36FDA71E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at least 24 separate backends for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Most folks won’t need more than one if their databases all have a decent ODBC or JDBC driver. To be able to use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idioms with databases there needs to be a way to translate R code (</w:t>
      </w:r>
      <w:proofErr w:type="gramStart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calls) into SQL. </w:t>
      </w:r>
      <w:hyperlink r:id="rId10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ton of functions are pre-mapped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 and most backend implementations start by relying on these defaults. Furthermore, since SQL is not nearly as “standard” across installations as one might think, some common tasks — such as string manipulation — </w:t>
      </w:r>
      <w:hyperlink r:id="rId11" w:anchor="L236-L267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have a default noop translation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00ED1C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do have to switch across backends with any frequency, knowing which backend provides support for which functions might be nice, but there hasn’t been a reference for this until Dewey &amp; I accepted Gordon’s challenge. What makes this a “challenge” is that you first have to figure out what packages provide a </w:t>
      </w: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d[b]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 interface then figure out what SQL translations they offer (they don’t necessarily have to inherit from the ones provided by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 add other ones to account for SQL clauses that aren’t in functional form). </w:t>
      </w:r>
      <w:proofErr w:type="gramStart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step was just a look through CRAN for which packages import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also adding in some I knew were on GitHub:</w:t>
      </w:r>
    </w:p>
    <w:p w14:paraId="0A952264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551A4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DE590E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B559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E493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All the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home CRAN mirror that import '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5AC470F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2D2ED02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arkdb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childesr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"chunked",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civis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corrr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cytominer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dbplot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7F37F5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"dexter",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dexterMST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dlookr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dplyr.teradata</w:t>
      </w:r>
      <w:proofErr w:type="spellEnd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etl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3692863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healthcareai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hydrolinks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implyr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"infuser",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ipumsr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macleish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mdsr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43F3A81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mlbgameday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modeldb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"mudata2",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parsemsf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"pivot",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pleiades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8B426D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"pool",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poplite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RClickhouse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replyr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RPresto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"sergeant",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24357AF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sqlscore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srvyr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taxizedb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valr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wordbankr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metis.tidy</w:t>
      </w:r>
      <w:proofErr w:type="spellEnd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C8789E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</w:p>
    <w:p w14:paraId="26C3092A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ended up doing 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install.pkgs</w:t>
      </w:r>
      <w:proofErr w:type="spellEnd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was easy since I have a home CRAN mirror and use macOS (so binary package installs).</w:t>
      </w:r>
    </w:p>
    <w:p w14:paraId="2343665A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presence of a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does not mean a package implements a backend, so we have to load their namespaces and see if they have the core “tell” (i.e. they implement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translate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BBA593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66FDA0F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B152C0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.x,</w:t>
      </w:r>
    </w:p>
    <w:p w14:paraId="6646CB8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trans =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loadNamespace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(.x) %&gt;%</w:t>
      </w:r>
    </w:p>
    <w:p w14:paraId="44FAE2B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D87D2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46A9A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CE7F72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-&gt;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01CB6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: 28 x 2</w:t>
      </w:r>
    </w:p>
    <w:p w14:paraId="51E59486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trans</w:t>
      </w:r>
    </w:p>
    <w:p w14:paraId="6F7FAB8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0FE5160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sql_translate_env.BigQueryConnection</w:t>
      </w:r>
      <w:proofErr w:type="spellEnd"/>
    </w:p>
    <w:p w14:paraId="628A708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civis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sql_translate_env.CivisConnection</w:t>
      </w:r>
      <w:proofErr w:type="spellEnd"/>
    </w:p>
    <w:p w14:paraId="740C5D3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sql_translate_env.ACCESS</w:t>
      </w:r>
      <w:proofErr w:type="spellEnd"/>
    </w:p>
    <w:p w14:paraId="1960BCD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sql_translate_env.Oracle</w:t>
      </w:r>
      <w:proofErr w:type="spellEnd"/>
    </w:p>
    <w:p w14:paraId="2F39E81D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sql_translate_env.SQLiteConnection</w:t>
      </w:r>
      <w:proofErr w:type="spellEnd"/>
    </w:p>
    <w:p w14:paraId="5B8A701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sql_translate_env.Impala</w:t>
      </w:r>
      <w:proofErr w:type="spellEnd"/>
    </w:p>
    <w:p w14:paraId="68FBB843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sql_translate_env.OdbcConnection</w:t>
      </w:r>
      <w:proofErr w:type="spellEnd"/>
    </w:p>
    <w:p w14:paraId="1BD8D73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sql_translate_env.MySQLConnection</w:t>
      </w:r>
      <w:proofErr w:type="spellEnd"/>
    </w:p>
    <w:p w14:paraId="68C5B3B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sql_translate_env.PqConnection</w:t>
      </w:r>
      <w:proofErr w:type="spellEnd"/>
    </w:p>
    <w:p w14:paraId="038B9586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env.PostgreSQLConnection</w:t>
      </w:r>
      <w:proofErr w:type="spellEnd"/>
      <w:proofErr w:type="gramEnd"/>
    </w:p>
    <w:p w14:paraId="1CF3F1B3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## # … with 18 more rows</w:t>
      </w:r>
    </w:p>
    <w:p w14:paraId="558C2675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know the types of connections that package has SQL translation support for. </w:t>
      </w:r>
      <w:proofErr w:type="gramStart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looking for the actual functions they provide. To discover that, we’re going to make dummy classed connection objects and get the translations they offer.</w:t>
      </w:r>
    </w:p>
    <w:p w14:paraId="7CAC4CD0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However</w:t>
      </w: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some may take the defaults from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override them so we also need to test if they use the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sql_not_supported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noop, which we can do by seeing if the function body </w:t>
      </w:r>
      <w:hyperlink r:id="rId12" w:anchor="L217" w:tgtFrame="_blank" w:history="1">
        <w:r w:rsidRPr="00D160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has a call to </w:t>
        </w:r>
        <w:r w:rsidRPr="00D1604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stop()</w:t>
        </w:r>
      </w:hyperlink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it. We’re also going to ignore maths operators along the way:</w:t>
      </w:r>
    </w:p>
    <w:p w14:paraId="790BC07E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(trans, ".")) %&gt;%</w:t>
      </w:r>
    </w:p>
    <w:p w14:paraId="52E4A89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trans !=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sql_translate_env.NULL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") %&gt;% # ignore NULL</w:t>
      </w:r>
    </w:p>
    <w:p w14:paraId="2923BA3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trans !=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sql_translate_env.Pool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# ignore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pooling </w:t>
      </w:r>
    </w:p>
    <w:p w14:paraId="5AAA926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trans !=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sql_translate_env.PrestoConnection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") %&gt;% # this one errored out</w:t>
      </w:r>
    </w:p>
    <w:p w14:paraId="5CBFB13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ƒ = map(trans, ~{</w:t>
      </w:r>
    </w:p>
    <w:p w14:paraId="40FE7A7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AD589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translate functions</w:t>
      </w:r>
    </w:p>
    <w:p w14:paraId="7E2C4A2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 &lt;- NA</w:t>
      </w:r>
    </w:p>
    <w:p w14:paraId="0425CE74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.x,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.", "")</w:t>
      </w:r>
    </w:p>
    <w:p w14:paraId="396DFD9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class(con) &lt;-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</w:p>
    <w:p w14:paraId="4BA6BF0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B77B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 &lt;-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082B765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82541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but ^^ rly isn't a nice, tidy object, it's a list of environments</w:t>
      </w:r>
    </w:p>
    <w:p w14:paraId="6469D7D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functions in it so we have to iterate through it to extract</w:t>
      </w:r>
    </w:p>
    <w:p w14:paraId="4B898FBF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names.</w:t>
      </w:r>
    </w:p>
    <w:p w14:paraId="775C60E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EB246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env, ~{</w:t>
      </w:r>
    </w:p>
    <w:p w14:paraId="1F09E30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5639F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part &lt;- .x</w:t>
      </w:r>
    </w:p>
    <w:p w14:paraId="5BFB613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fs &lt;- names(part)</w:t>
      </w:r>
    </w:p>
    <w:p w14:paraId="55CD980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E39F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but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it's not just good enough to do that b/c a given function name</w:t>
      </w:r>
    </w:p>
    <w:p w14:paraId="131237AF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might just implement the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sql_not_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supported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 pass through.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have</w:t>
      </w:r>
    </w:p>
    <w:p w14:paraId="3CEEF99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to actually look to see if the function body has a "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)" call in it</w:t>
      </w:r>
    </w:p>
    <w:p w14:paraId="36E9AE2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ignore it if it does.</w:t>
      </w:r>
    </w:p>
    <w:p w14:paraId="3DCA227F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A3B4E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fs, ~{</w:t>
      </w:r>
    </w:p>
    <w:p w14:paraId="4DE1D8A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ƒ = .x,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(body(part[[.x]])), collapse = "; ")) %&gt;% # this gets the body of the function</w:t>
      </w:r>
    </w:p>
    <w:p w14:paraId="6C417D2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, "stop(")) %&gt;%</w:t>
      </w:r>
    </w:p>
    <w:p w14:paraId="276AE5A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stri_detect_regex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(ƒ, "[[:alpha:]]")) %&gt;% # and we rly don't care about maths</w:t>
      </w:r>
    </w:p>
    <w:p w14:paraId="4AF9498E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select(-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7992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</w:t>
      </w:r>
    </w:p>
    <w:p w14:paraId="650BAC2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0BD87AD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})) %&gt;%</w:t>
      </w:r>
    </w:p>
    <w:p w14:paraId="0AEC2FD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unnest(ƒ) %&gt;%</w:t>
      </w:r>
    </w:p>
    <w:p w14:paraId="21F4206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 =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stri_replace_first_fixed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(trans, "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sql_translate_env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.", "")) -&gt;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8AD17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: 1,318 x 3</w:t>
      </w:r>
    </w:p>
    <w:p w14:paraId="4192FD8D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trans              ƒ</w:t>
      </w:r>
    </w:p>
    <w:p w14:paraId="3F15E7F5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467084C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</w:t>
      </w:r>
    </w:p>
    <w:p w14:paraId="65A1EFC0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</w:p>
    <w:p w14:paraId="10777A76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as.logical</w:t>
      </w:r>
      <w:proofErr w:type="spellEnd"/>
    </w:p>
    <w:p w14:paraId="52A1AEF3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</w:p>
    <w:p w14:paraId="1FC16EF4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</w:p>
    <w:p w14:paraId="5ACA55D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is.na</w:t>
      </w:r>
    </w:p>
    <w:p w14:paraId="1F4BF2B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</w:p>
    <w:p w14:paraId="3FAB5FF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</w:p>
    <w:p w14:paraId="2C8DB936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</w:p>
    <w:p w14:paraId="540719B8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bigrquery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BigQueryConnection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</w:p>
    <w:p w14:paraId="2F727E2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## # … with 1,308 more rows</w:t>
      </w:r>
    </w:p>
    <w:p w14:paraId="565ECE53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rest is all just </w:t>
      </w: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basics:</w:t>
      </w:r>
    </w:p>
    <w:p w14:paraId="0E1E216B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}\n{trans}")) %&gt;% # make something useful to display for the DB/conn</w:t>
      </w:r>
    </w:p>
    <w:p w14:paraId="34F4C27D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n = 1) %&gt;% # heatmap block on</w:t>
      </w:r>
    </w:p>
    <w:p w14:paraId="2CD60D3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, ƒ) %&gt;% # complete the heatmap</w:t>
      </w:r>
    </w:p>
    <w:p w14:paraId="2AC63F6A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arrange(ƒ) %&gt;%</w:t>
      </w:r>
    </w:p>
    <w:p w14:paraId="127B9B14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ƒ = factor(ƒ, levels=rev(unique(ƒ)))) %&gt;% # arrange the Y axis in the proper order</w:t>
      </w:r>
    </w:p>
    <w:p w14:paraId="2AF91261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, ƒ)) +</w:t>
      </w:r>
    </w:p>
    <w:p w14:paraId="3042CAF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n),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="#2b2b2b", size=0.125,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=FALSE) +</w:t>
      </w:r>
    </w:p>
    <w:p w14:paraId="0D7204C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scale_x_discrete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0,0.1), position = "top") +</w:t>
      </w:r>
    </w:p>
    <w:p w14:paraId="6A2E4153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scale_fill_continuous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="white") +</w:t>
      </w:r>
    </w:p>
    <w:p w14:paraId="0B8CF0B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8FC1F22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</w:t>
      </w:r>
    </w:p>
    <w:p w14:paraId="3B433617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"SQL Function Support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Known d[b]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Backends"</w:t>
      </w:r>
    </w:p>
    <w:p w14:paraId="1C7EE8EC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BBA7409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grid="",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axis_text_size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9) + # you'll need to use the dev version of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this function; just sub out a diff theme if you already have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loaded</w:t>
      </w:r>
    </w:p>
    <w:p w14:paraId="4B024FFD" w14:textId="77777777" w:rsidR="00D16041" w:rsidRPr="00D16041" w:rsidRDefault="00D16041" w:rsidP="00D1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16041">
        <w:rPr>
          <w:rFonts w:ascii="Courier New" w:eastAsia="Times New Roman" w:hAnsi="Courier New" w:cs="Courier New"/>
          <w:sz w:val="20"/>
          <w:szCs w:val="20"/>
          <w:lang w:eastAsia="en-IN"/>
        </w:rPr>
        <w:t>(family = "mono", size = 7))</w:t>
      </w:r>
    </w:p>
    <w:p w14:paraId="32C38B21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makes:</w:t>
      </w:r>
    </w:p>
    <w:p w14:paraId="12BD5240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A19C480" wp14:editId="799455D0">
            <wp:extent cx="4290060" cy="2354580"/>
            <wp:effectExtent l="0" t="0" r="0" b="7620"/>
            <wp:docPr id="2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0BE3" w14:textId="77777777" w:rsidR="00D16041" w:rsidRPr="00D16041" w:rsidRDefault="00D16041" w:rsidP="00D1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041">
        <w:rPr>
          <w:rFonts w:ascii="Times New Roman" w:eastAsia="Times New Roman" w:hAnsi="Times New Roman" w:cs="Times New Roman"/>
          <w:sz w:val="20"/>
          <w:szCs w:val="20"/>
          <w:lang w:eastAsia="en-IN"/>
        </w:rPr>
        <w:t>(WP wouldn’t make the featured image linkable so I had to stick it in again to enabled the link so folks can make it full size which is absolutely necessary to see it).</w:t>
      </w:r>
    </w:p>
    <w:p w14:paraId="754E7A0D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41"/>
    <w:rsid w:val="009F4A73"/>
    <w:rsid w:val="00D1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4809"/>
  <w15:chartTrackingRefBased/>
  <w15:docId w15:val="{F231D941-AB34-46AB-AB35-E4E78F8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paleolimbot" TargetMode="External"/><Relationship Id="rId13" Type="http://schemas.openxmlformats.org/officeDocument/2006/relationships/hyperlink" Target="https://i2.wp.com/rud.is/b/wp-content/uploads/2019/04/backend-heatmap.jpg?ssl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gshotwell/status/1115653121269796865?ref_src=twsrc%5Etfw" TargetMode="External"/><Relationship Id="rId12" Type="http://schemas.openxmlformats.org/officeDocument/2006/relationships/hyperlink" Target="https://github.com/tidyverse/dbplyr/blob/e867e8b64be285bf7fc137f5d5add9ff7e1c4b1f/R/translate-sql-helpers.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witter.com/gshotwell" TargetMode="External"/><Relationship Id="rId11" Type="http://schemas.openxmlformats.org/officeDocument/2006/relationships/hyperlink" Target="https://github.com/tidyverse/dbplyr/blob/master/R/backend-.R" TargetMode="External"/><Relationship Id="rId5" Type="http://schemas.openxmlformats.org/officeDocument/2006/relationships/hyperlink" Target="https://twitter.com/hashtag/rstats?src=hash&amp;ref_src=twsrc%5Etf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idyverse/dbplyr/blob/master/R/backend-.R" TargetMode="External"/><Relationship Id="rId4" Type="http://schemas.openxmlformats.org/officeDocument/2006/relationships/hyperlink" Target="http://twitter.com/gshotwell" TargetMode="External"/><Relationship Id="rId9" Type="http://schemas.openxmlformats.org/officeDocument/2006/relationships/hyperlink" Target="https://apps.fishandwhistle.net/archives/1503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2021-11-27T08:10:00Z</dcterms:created>
  <dcterms:modified xsi:type="dcterms:W3CDTF">2021-11-27T08:11:00Z</dcterms:modified>
</cp:coreProperties>
</file>