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1BC9" w14:textId="77777777" w:rsidR="00D16041" w:rsidRPr="00D16041" w:rsidRDefault="00D16041" w:rsidP="00D160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6041">
        <w:rPr>
          <w:rFonts w:ascii="Times New Roman" w:eastAsia="Times New Roman" w:hAnsi="Times New Roman" w:cs="Times New Roman"/>
          <w:b/>
          <w:bCs/>
          <w:sz w:val="27"/>
          <w:szCs w:val="27"/>
          <w:lang w:eastAsia="en-IN"/>
        </w:rPr>
        <w:t>Executing The Plan</w:t>
      </w:r>
    </w:p>
    <w:p w14:paraId="36FDA71E" w14:textId="16EF6F64" w:rsidR="00D16041" w:rsidRPr="00D16041" w:rsidRDefault="00D16041" w:rsidP="00D16041">
      <w:pPr>
        <w:spacing w:before="100" w:beforeAutospacing="1" w:after="100" w:afterAutospacing="1" w:line="240" w:lineRule="auto"/>
        <w:rPr>
          <w:rFonts w:ascii="Times New Roman" w:eastAsia="Times New Roman" w:hAnsi="Times New Roman" w:cs="Times New Roman"/>
          <w:sz w:val="20"/>
          <w:szCs w:val="20"/>
          <w:lang w:eastAsia="en-IN"/>
        </w:rPr>
      </w:pPr>
      <w:r w:rsidRPr="00D16041">
        <w:rPr>
          <w:rFonts w:ascii="Times New Roman" w:eastAsia="Times New Roman" w:hAnsi="Times New Roman" w:cs="Times New Roman"/>
          <w:sz w:val="20"/>
          <w:szCs w:val="20"/>
          <w:lang w:eastAsia="en-IN"/>
        </w:rPr>
        <w:t xml:space="preserve">There are at least 24 separate backends for </w:t>
      </w:r>
      <w:r w:rsidRPr="00D16041">
        <w:rPr>
          <w:rFonts w:ascii="Courier New" w:eastAsia="Times New Roman" w:hAnsi="Courier New" w:cs="Courier New"/>
          <w:sz w:val="20"/>
          <w:szCs w:val="20"/>
          <w:lang w:eastAsia="en-IN"/>
        </w:rPr>
        <w:t>dbplyr</w:t>
      </w:r>
      <w:r w:rsidRPr="00D16041">
        <w:rPr>
          <w:rFonts w:ascii="Times New Roman" w:eastAsia="Times New Roman" w:hAnsi="Times New Roman" w:cs="Times New Roman"/>
          <w:sz w:val="20"/>
          <w:szCs w:val="20"/>
          <w:lang w:eastAsia="en-IN"/>
        </w:rPr>
        <w:t xml:space="preserve">. Most folks won’t need more than one if their databases all have a decent ODBC or JDBC driver. To be able to use </w:t>
      </w:r>
      <w:r w:rsidRPr="00D16041">
        <w:rPr>
          <w:rFonts w:ascii="Courier New" w:eastAsia="Times New Roman" w:hAnsi="Courier New" w:cs="Courier New"/>
          <w:sz w:val="20"/>
          <w:szCs w:val="20"/>
          <w:lang w:eastAsia="en-IN"/>
        </w:rPr>
        <w:t>dplyr</w:t>
      </w:r>
      <w:r w:rsidRPr="00D16041">
        <w:rPr>
          <w:rFonts w:ascii="Times New Roman" w:eastAsia="Times New Roman" w:hAnsi="Times New Roman" w:cs="Times New Roman"/>
          <w:sz w:val="20"/>
          <w:szCs w:val="20"/>
          <w:lang w:eastAsia="en-IN"/>
        </w:rPr>
        <w:t xml:space="preserve"> idioms with databases there needs to be a way to translate R code (e.g. function calls) into SQL. Furthermore, since SQL is not nearly as “standard” across installations as one might think, some common tasks — such as string manipulation</w:t>
      </w:r>
      <w:r w:rsidR="006E0CEB">
        <w:rPr>
          <w:rFonts w:ascii="Times New Roman" w:eastAsia="Times New Roman" w:hAnsi="Times New Roman" w:cs="Times New Roman"/>
          <w:sz w:val="20"/>
          <w:szCs w:val="20"/>
          <w:lang w:eastAsia="en-IN"/>
        </w:rPr>
        <w:t>.</w:t>
      </w:r>
    </w:p>
    <w:p w14:paraId="3C00ED1C" w14:textId="77777777" w:rsidR="00D16041" w:rsidRPr="00D16041" w:rsidRDefault="00D16041" w:rsidP="00D16041">
      <w:pPr>
        <w:spacing w:before="100" w:beforeAutospacing="1" w:after="100" w:afterAutospacing="1" w:line="240" w:lineRule="auto"/>
        <w:rPr>
          <w:rFonts w:ascii="Times New Roman" w:eastAsia="Times New Roman" w:hAnsi="Times New Roman" w:cs="Times New Roman"/>
          <w:sz w:val="20"/>
          <w:szCs w:val="20"/>
          <w:lang w:eastAsia="en-IN"/>
        </w:rPr>
      </w:pPr>
      <w:r w:rsidRPr="00D16041">
        <w:rPr>
          <w:rFonts w:ascii="Times New Roman" w:eastAsia="Times New Roman" w:hAnsi="Times New Roman" w:cs="Times New Roman"/>
          <w:sz w:val="20"/>
          <w:szCs w:val="20"/>
          <w:lang w:eastAsia="en-IN"/>
        </w:rPr>
        <w:t xml:space="preserve">If you do have to switch across backends with any frequency, knowing which backend provides support for which functions might be nice, but there hasn’t been a reference for this until Dewey &amp; I accepted Gordon’s challenge. What makes this a “challenge” is that you first have to figure out what packages provide a </w:t>
      </w:r>
      <w:r w:rsidRPr="00D16041">
        <w:rPr>
          <w:rFonts w:ascii="Courier New" w:eastAsia="Times New Roman" w:hAnsi="Courier New" w:cs="Courier New"/>
          <w:sz w:val="20"/>
          <w:szCs w:val="20"/>
          <w:lang w:eastAsia="en-IN"/>
        </w:rPr>
        <w:t>d[b]plyr</w:t>
      </w:r>
      <w:r w:rsidRPr="00D16041">
        <w:rPr>
          <w:rFonts w:ascii="Times New Roman" w:eastAsia="Times New Roman" w:hAnsi="Times New Roman" w:cs="Times New Roman"/>
          <w:sz w:val="20"/>
          <w:szCs w:val="20"/>
          <w:lang w:eastAsia="en-IN"/>
        </w:rPr>
        <w:t xml:space="preserve"> backend interface then figure out what SQL translations they offer (they don’t necessarily have to inherit from the ones provided by </w:t>
      </w:r>
      <w:r w:rsidRPr="00D16041">
        <w:rPr>
          <w:rFonts w:ascii="Courier New" w:eastAsia="Times New Roman" w:hAnsi="Courier New" w:cs="Courier New"/>
          <w:sz w:val="20"/>
          <w:szCs w:val="20"/>
          <w:lang w:eastAsia="en-IN"/>
        </w:rPr>
        <w:t>dbplyr</w:t>
      </w:r>
      <w:r w:rsidRPr="00D16041">
        <w:rPr>
          <w:rFonts w:ascii="Times New Roman" w:eastAsia="Times New Roman" w:hAnsi="Times New Roman" w:cs="Times New Roman"/>
          <w:sz w:val="20"/>
          <w:szCs w:val="20"/>
          <w:lang w:eastAsia="en-IN"/>
        </w:rPr>
        <w:t xml:space="preserve"> and may add other ones to account for SQL clauses that aren’t in functional form). So the first step was just a look through CRAN for which packages import </w:t>
      </w:r>
      <w:r w:rsidRPr="00D16041">
        <w:rPr>
          <w:rFonts w:ascii="Courier New" w:eastAsia="Times New Roman" w:hAnsi="Courier New" w:cs="Courier New"/>
          <w:sz w:val="20"/>
          <w:szCs w:val="20"/>
          <w:lang w:eastAsia="en-IN"/>
        </w:rPr>
        <w:t>dbplyr</w:t>
      </w:r>
      <w:r w:rsidRPr="00D16041">
        <w:rPr>
          <w:rFonts w:ascii="Times New Roman" w:eastAsia="Times New Roman" w:hAnsi="Times New Roman" w:cs="Times New Roman"/>
          <w:sz w:val="20"/>
          <w:szCs w:val="20"/>
          <w:lang w:eastAsia="en-IN"/>
        </w:rPr>
        <w:t xml:space="preserve"> and also adding in some I knew were on GitHub:</w:t>
      </w:r>
    </w:p>
    <w:p w14:paraId="0A952264"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library(stringi)</w:t>
      </w:r>
    </w:p>
    <w:p w14:paraId="16551A4A"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library(hrbrthemes)</w:t>
      </w:r>
    </w:p>
    <w:p w14:paraId="59DE590E"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library(tidyverse)</w:t>
      </w:r>
    </w:p>
    <w:p w14:paraId="420B5590"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DE493B"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All the pkgs from the home CRAN mirror that import 'dbplyr'</w:t>
      </w:r>
    </w:p>
    <w:p w14:paraId="35AC470F"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c(</w:t>
      </w:r>
    </w:p>
    <w:p w14:paraId="2D2ED022"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"arkdb", "bigrquery", "childesr", "chunked", "civis", "corrr", "cytominer", "dbplot",</w:t>
      </w:r>
    </w:p>
    <w:p w14:paraId="77F37F57"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"dbplyr", "dexter", "dexterMST", "dlookr", "dplyr", "dplyr.teradata", "etl",</w:t>
      </w:r>
    </w:p>
    <w:p w14:paraId="53692863"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"healthcareai", "hydrolinks", "implyr", "infuser", "ipumsr", "macleish", "mdsr",</w:t>
      </w:r>
    </w:p>
    <w:p w14:paraId="043F3A81"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"mlbgameday", "modeldb", "MonetDBLite", "mudata2", "parsemsf", "pivot", "pleiades",</w:t>
      </w:r>
    </w:p>
    <w:p w14:paraId="08B426DB"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"pool", "poplite", "RClickhouse", "replyr", "RPresto", "sergeant", "sparklyr",</w:t>
      </w:r>
    </w:p>
    <w:p w14:paraId="024357AF"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"sqlscore", "srvyr", "taxizedb", "valr", "wordbankr", "metis.tidy"</w:t>
      </w:r>
    </w:p>
    <w:p w14:paraId="6C8789EC"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-&gt; pkgs</w:t>
      </w:r>
    </w:p>
    <w:p w14:paraId="26C3092A" w14:textId="77777777" w:rsidR="00D16041" w:rsidRPr="00D16041" w:rsidRDefault="00D16041" w:rsidP="00D16041">
      <w:pPr>
        <w:spacing w:before="100" w:beforeAutospacing="1" w:after="100" w:afterAutospacing="1" w:line="240" w:lineRule="auto"/>
        <w:rPr>
          <w:rFonts w:ascii="Times New Roman" w:eastAsia="Times New Roman" w:hAnsi="Times New Roman" w:cs="Times New Roman"/>
          <w:sz w:val="20"/>
          <w:szCs w:val="20"/>
          <w:lang w:eastAsia="en-IN"/>
        </w:rPr>
      </w:pPr>
      <w:r w:rsidRPr="00D16041">
        <w:rPr>
          <w:rFonts w:ascii="Times New Roman" w:eastAsia="Times New Roman" w:hAnsi="Times New Roman" w:cs="Times New Roman"/>
          <w:sz w:val="20"/>
          <w:szCs w:val="20"/>
          <w:lang w:eastAsia="en-IN"/>
        </w:rPr>
        <w:t xml:space="preserve">I ended up doing </w:t>
      </w:r>
      <w:r w:rsidRPr="00D16041">
        <w:rPr>
          <w:rFonts w:ascii="Courier New" w:eastAsia="Times New Roman" w:hAnsi="Courier New" w:cs="Courier New"/>
          <w:sz w:val="20"/>
          <w:szCs w:val="20"/>
          <w:lang w:eastAsia="en-IN"/>
        </w:rPr>
        <w:t>install.pkgs(pkgs)</w:t>
      </w:r>
      <w:r w:rsidRPr="00D16041">
        <w:rPr>
          <w:rFonts w:ascii="Times New Roman" w:eastAsia="Times New Roman" w:hAnsi="Times New Roman" w:cs="Times New Roman"/>
          <w:sz w:val="20"/>
          <w:szCs w:val="20"/>
          <w:lang w:eastAsia="en-IN"/>
        </w:rPr>
        <w:t xml:space="preserve"> which was easy since I have a home CRAN mirror and use macOS (so binary package installs).</w:t>
      </w:r>
    </w:p>
    <w:p w14:paraId="2343665A" w14:textId="77777777" w:rsidR="00D16041" w:rsidRPr="00D16041" w:rsidRDefault="00D16041" w:rsidP="00D16041">
      <w:pPr>
        <w:spacing w:before="100" w:beforeAutospacing="1" w:after="100" w:afterAutospacing="1" w:line="240" w:lineRule="auto"/>
        <w:rPr>
          <w:rFonts w:ascii="Times New Roman" w:eastAsia="Times New Roman" w:hAnsi="Times New Roman" w:cs="Times New Roman"/>
          <w:sz w:val="20"/>
          <w:szCs w:val="20"/>
          <w:lang w:eastAsia="en-IN"/>
        </w:rPr>
      </w:pPr>
      <w:r w:rsidRPr="00D16041">
        <w:rPr>
          <w:rFonts w:ascii="Times New Roman" w:eastAsia="Times New Roman" w:hAnsi="Times New Roman" w:cs="Times New Roman"/>
          <w:sz w:val="20"/>
          <w:szCs w:val="20"/>
          <w:lang w:eastAsia="en-IN"/>
        </w:rPr>
        <w:t xml:space="preserve">The presence of a </w:t>
      </w:r>
      <w:r w:rsidRPr="00D16041">
        <w:rPr>
          <w:rFonts w:ascii="Courier New" w:eastAsia="Times New Roman" w:hAnsi="Courier New" w:cs="Courier New"/>
          <w:sz w:val="20"/>
          <w:szCs w:val="20"/>
          <w:lang w:eastAsia="en-IN"/>
        </w:rPr>
        <w:t>dbplyr</w:t>
      </w:r>
      <w:r w:rsidRPr="00D16041">
        <w:rPr>
          <w:rFonts w:ascii="Times New Roman" w:eastAsia="Times New Roman" w:hAnsi="Times New Roman" w:cs="Times New Roman"/>
          <w:sz w:val="20"/>
          <w:szCs w:val="20"/>
          <w:lang w:eastAsia="en-IN"/>
        </w:rPr>
        <w:t xml:space="preserve"> import does not mean a package implements a backend, so we have to load their namespaces and see if they have the core “tell” (i.e. they implement </w:t>
      </w:r>
      <w:r w:rsidRPr="00D16041">
        <w:rPr>
          <w:rFonts w:ascii="Courier New" w:eastAsia="Times New Roman" w:hAnsi="Courier New" w:cs="Courier New"/>
          <w:sz w:val="20"/>
          <w:szCs w:val="20"/>
          <w:lang w:eastAsia="en-IN"/>
        </w:rPr>
        <w:t>sql_translate()</w:t>
      </w:r>
      <w:r w:rsidRPr="00D16041">
        <w:rPr>
          <w:rFonts w:ascii="Times New Roman" w:eastAsia="Times New Roman" w:hAnsi="Times New Roman" w:cs="Times New Roman"/>
          <w:sz w:val="20"/>
          <w:szCs w:val="20"/>
          <w:lang w:eastAsia="en-IN"/>
        </w:rPr>
        <w:t>):</w:t>
      </w:r>
    </w:p>
    <w:p w14:paraId="6BBA5938"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(map_df(pkgs, ~{</w:t>
      </w:r>
    </w:p>
    <w:p w14:paraId="66FDA0F8"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tibble(</w:t>
      </w:r>
    </w:p>
    <w:p w14:paraId="2B152C07"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pkg = .x,</w:t>
      </w:r>
    </w:p>
    <w:p w14:paraId="6646CB87"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trans = loadNamespace(.x) %&gt;%</w:t>
      </w:r>
    </w:p>
    <w:p w14:paraId="44FAE2B8"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names() %&gt;%</w:t>
      </w:r>
    </w:p>
    <w:p w14:paraId="67D87D2A"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keep(stri_detect_fixed, "sql_translate")</w:t>
      </w:r>
    </w:p>
    <w:p w14:paraId="7746A9AB"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w:t>
      </w:r>
    </w:p>
    <w:p w14:paraId="6CE7F729"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-&gt; xdf)</w:t>
      </w:r>
    </w:p>
    <w:p w14:paraId="1A01CB6B"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 A tibble: 28 x 2</w:t>
      </w:r>
    </w:p>
    <w:p w14:paraId="51E59486"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pkg       trans</w:t>
      </w:r>
    </w:p>
    <w:p w14:paraId="6F7FAB8C"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w:t>
      </w:r>
    </w:p>
    <w:p w14:paraId="0FE51605"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1 bigrquery sql_translate_env.BigQueryConnection</w:t>
      </w:r>
    </w:p>
    <w:p w14:paraId="628A708B"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2 civis     sql_translate_env.CivisConnection</w:t>
      </w:r>
    </w:p>
    <w:p w14:paraId="740C5D35"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3 dbplyr    sql_translate_env.ACCESS</w:t>
      </w:r>
    </w:p>
    <w:p w14:paraId="1960BCDB"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4 dbplyr    sql_translate_env.Oracle</w:t>
      </w:r>
    </w:p>
    <w:p w14:paraId="2F39E81D"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5 dbplyr    sql_translate_env.SQLiteConnection</w:t>
      </w:r>
    </w:p>
    <w:p w14:paraId="5B8A701C"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6 dbplyr    sql_translate_env.Impala</w:t>
      </w:r>
    </w:p>
    <w:p w14:paraId="68FBB843"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7 dbplyr    sql_translate_env.OdbcConnection</w:t>
      </w:r>
    </w:p>
    <w:p w14:paraId="1BD8D73B"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8 dbplyr    sql_translate_env.MySQLConnection</w:t>
      </w:r>
    </w:p>
    <w:p w14:paraId="68C5B3B2"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lastRenderedPageBreak/>
        <w:t>##  9 dbplyr    sql_translate_env.PqConnection</w:t>
      </w:r>
    </w:p>
    <w:p w14:paraId="038B9586"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10 dbplyr    sql_translate_env.PostgreSQLConnection</w:t>
      </w:r>
    </w:p>
    <w:p w14:paraId="1CF3F1B3"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 … with 18 more rows</w:t>
      </w:r>
    </w:p>
    <w:p w14:paraId="558C2675" w14:textId="77777777" w:rsidR="00D16041" w:rsidRPr="00D16041" w:rsidRDefault="00D16041" w:rsidP="00D16041">
      <w:pPr>
        <w:spacing w:before="100" w:beforeAutospacing="1" w:after="100" w:afterAutospacing="1" w:line="240" w:lineRule="auto"/>
        <w:rPr>
          <w:rFonts w:ascii="Times New Roman" w:eastAsia="Times New Roman" w:hAnsi="Times New Roman" w:cs="Times New Roman"/>
          <w:sz w:val="20"/>
          <w:szCs w:val="20"/>
          <w:lang w:eastAsia="en-IN"/>
        </w:rPr>
      </w:pPr>
      <w:r w:rsidRPr="00D16041">
        <w:rPr>
          <w:rFonts w:ascii="Times New Roman" w:eastAsia="Times New Roman" w:hAnsi="Times New Roman" w:cs="Times New Roman"/>
          <w:sz w:val="20"/>
          <w:szCs w:val="20"/>
          <w:lang w:eastAsia="en-IN"/>
        </w:rPr>
        <w:t>Now we know the types of connections that package has SQL translation support for. But, we’re looking for the actual functions they provide. To discover that, we’re going to make dummy classed connection objects and get the translations they offer.</w:t>
      </w:r>
    </w:p>
    <w:p w14:paraId="7CAC4CD0" w14:textId="2A13D444" w:rsidR="00D16041" w:rsidRPr="00D16041" w:rsidRDefault="00D16041" w:rsidP="00D16041">
      <w:pPr>
        <w:spacing w:before="100" w:beforeAutospacing="1" w:after="100" w:afterAutospacing="1" w:line="240" w:lineRule="auto"/>
        <w:rPr>
          <w:rFonts w:ascii="Times New Roman" w:eastAsia="Times New Roman" w:hAnsi="Times New Roman" w:cs="Times New Roman"/>
          <w:sz w:val="20"/>
          <w:szCs w:val="20"/>
          <w:lang w:eastAsia="en-IN"/>
        </w:rPr>
      </w:pPr>
      <w:r w:rsidRPr="00D16041">
        <w:rPr>
          <w:rFonts w:ascii="Times New Roman" w:eastAsia="Times New Roman" w:hAnsi="Times New Roman" w:cs="Times New Roman"/>
          <w:i/>
          <w:iCs/>
          <w:sz w:val="20"/>
          <w:szCs w:val="20"/>
          <w:lang w:eastAsia="en-IN"/>
        </w:rPr>
        <w:t>However</w:t>
      </w:r>
      <w:r w:rsidRPr="00D16041">
        <w:rPr>
          <w:rFonts w:ascii="Times New Roman" w:eastAsia="Times New Roman" w:hAnsi="Times New Roman" w:cs="Times New Roman"/>
          <w:sz w:val="20"/>
          <w:szCs w:val="20"/>
          <w:lang w:eastAsia="en-IN"/>
        </w:rPr>
        <w:t xml:space="preserve">, some may take the defaults from </w:t>
      </w:r>
      <w:r w:rsidRPr="00D16041">
        <w:rPr>
          <w:rFonts w:ascii="Courier New" w:eastAsia="Times New Roman" w:hAnsi="Courier New" w:cs="Courier New"/>
          <w:sz w:val="20"/>
          <w:szCs w:val="20"/>
          <w:lang w:eastAsia="en-IN"/>
        </w:rPr>
        <w:t>dbplyr</w:t>
      </w:r>
      <w:r w:rsidRPr="00D16041">
        <w:rPr>
          <w:rFonts w:ascii="Times New Roman" w:eastAsia="Times New Roman" w:hAnsi="Times New Roman" w:cs="Times New Roman"/>
          <w:sz w:val="20"/>
          <w:szCs w:val="20"/>
          <w:lang w:eastAsia="en-IN"/>
        </w:rPr>
        <w:t xml:space="preserve"> and not override them so we also need to test if they use the </w:t>
      </w:r>
      <w:r w:rsidRPr="00D16041">
        <w:rPr>
          <w:rFonts w:ascii="Courier New" w:eastAsia="Times New Roman" w:hAnsi="Courier New" w:cs="Courier New"/>
          <w:sz w:val="20"/>
          <w:szCs w:val="20"/>
          <w:lang w:eastAsia="en-IN"/>
        </w:rPr>
        <w:t>sql_not_supported()</w:t>
      </w:r>
      <w:r w:rsidRPr="00D16041">
        <w:rPr>
          <w:rFonts w:ascii="Times New Roman" w:eastAsia="Times New Roman" w:hAnsi="Times New Roman" w:cs="Times New Roman"/>
          <w:sz w:val="20"/>
          <w:szCs w:val="20"/>
          <w:lang w:eastAsia="en-IN"/>
        </w:rPr>
        <w:t xml:space="preserve"> noop, which we can do by seeing if the function body </w:t>
      </w:r>
      <w:r w:rsidRPr="00D16041">
        <w:rPr>
          <w:rFonts w:ascii="Times New Roman" w:eastAsia="Times New Roman" w:hAnsi="Times New Roman" w:cs="Times New Roman"/>
          <w:color w:val="0000FF"/>
          <w:sz w:val="20"/>
          <w:szCs w:val="20"/>
          <w:u w:val="single"/>
          <w:lang w:eastAsia="en-IN"/>
        </w:rPr>
        <w:t xml:space="preserve">has a call to </w:t>
      </w:r>
      <w:r w:rsidRPr="00D16041">
        <w:rPr>
          <w:rFonts w:ascii="Courier New" w:eastAsia="Times New Roman" w:hAnsi="Courier New" w:cs="Courier New"/>
          <w:color w:val="0000FF"/>
          <w:sz w:val="20"/>
          <w:szCs w:val="20"/>
          <w:u w:val="single"/>
          <w:lang w:eastAsia="en-IN"/>
        </w:rPr>
        <w:t>stop()</w:t>
      </w:r>
      <w:r w:rsidRPr="00D16041">
        <w:rPr>
          <w:rFonts w:ascii="Times New Roman" w:eastAsia="Times New Roman" w:hAnsi="Times New Roman" w:cs="Times New Roman"/>
          <w:sz w:val="20"/>
          <w:szCs w:val="20"/>
          <w:lang w:eastAsia="en-IN"/>
        </w:rPr>
        <w:t xml:space="preserve"> in it. We’re also going to ignore maths operators along the way:</w:t>
      </w:r>
    </w:p>
    <w:p w14:paraId="790BC07E"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(filter(xdf, stri_detect_fixed(trans, ".")) %&gt;%</w:t>
      </w:r>
    </w:p>
    <w:p w14:paraId="52E4A892"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filter(trans != "sql_translate_env.NULL") %&gt;% # ignore NULL</w:t>
      </w:r>
    </w:p>
    <w:p w14:paraId="2923BA30"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filter(trans != "sql_translate_env.Pool") %&gt;% # ignore db connection pooling </w:t>
      </w:r>
    </w:p>
    <w:p w14:paraId="5AAA9269"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filter(trans != "sql_translate_env.PrestoConnection") %&gt;% # this one errored out</w:t>
      </w:r>
    </w:p>
    <w:p w14:paraId="5CBFB137"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mutate(ƒ = map(trans, ~{</w:t>
      </w:r>
    </w:p>
    <w:p w14:paraId="40FE7A79"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D5895"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 get the sql translate functions</w:t>
      </w:r>
    </w:p>
    <w:p w14:paraId="7E2C4A28"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con &lt;- NA</w:t>
      </w:r>
    </w:p>
    <w:p w14:paraId="0425CE74"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cls &lt;- stri_replace_first_fixed(.x, "sql_translate_env.", "")</w:t>
      </w:r>
    </w:p>
    <w:p w14:paraId="396DFD9A"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class(con) &lt;- cls</w:t>
      </w:r>
    </w:p>
    <w:p w14:paraId="4BA6BF08"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B77B0"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env &lt;- sql_translate_env(con)</w:t>
      </w:r>
    </w:p>
    <w:p w14:paraId="082B765B"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82541"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 but ^^ rly isn't a nice, tidy object, it's a list of environments</w:t>
      </w:r>
    </w:p>
    <w:p w14:paraId="6469D7D2"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 with functions in it so we have to iterate through it to extract</w:t>
      </w:r>
    </w:p>
    <w:p w14:paraId="4B898FBF"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 the function names.</w:t>
      </w:r>
    </w:p>
    <w:p w14:paraId="775C60E9"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EB246"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map_df(env, ~{</w:t>
      </w:r>
    </w:p>
    <w:p w14:paraId="1F09E300"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639FC"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part &lt;- .x</w:t>
      </w:r>
    </w:p>
    <w:p w14:paraId="5BFB6138"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fs &lt;- names(part)</w:t>
      </w:r>
    </w:p>
    <w:p w14:paraId="55CD9807"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4E39F5"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 but it's not just good enough to do that b/c a given function name</w:t>
      </w:r>
    </w:p>
    <w:p w14:paraId="131237AF"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 might just implement the "sql_not_supported()" pass through. So we have</w:t>
      </w:r>
    </w:p>
    <w:p w14:paraId="3CEEF995"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 to actually look to see if the function body has a "stop()" call in it</w:t>
      </w:r>
    </w:p>
    <w:p w14:paraId="36E9AE22"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 and ignore it if it does.</w:t>
      </w:r>
    </w:p>
    <w:p w14:paraId="3DCA227F"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A3B4E"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map_df(fs, ~{</w:t>
      </w:r>
    </w:p>
    <w:p w14:paraId="4DE1D8A8"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tibble(ƒ = .x, src = paste0(as.character(body(part[[.x]])), collapse = "; ")) %&gt;% # this gets the body of the function</w:t>
      </w:r>
    </w:p>
    <w:p w14:paraId="6C417D25"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filter(!stri_detect_fixed(src, "stop(")) %&gt;%</w:t>
      </w:r>
    </w:p>
    <w:p w14:paraId="276AE5A9"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filter(stri_detect_regex(ƒ, "[[:alpha:]]")) %&gt;% # and we rly don't care about maths</w:t>
      </w:r>
    </w:p>
    <w:p w14:paraId="4AF9498E"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select(-src)</w:t>
      </w:r>
    </w:p>
    <w:p w14:paraId="58879929"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w:t>
      </w:r>
    </w:p>
    <w:p w14:paraId="650BAC29"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w:t>
      </w:r>
    </w:p>
    <w:p w14:paraId="0BD87AD0"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 %&gt;%</w:t>
      </w:r>
    </w:p>
    <w:p w14:paraId="0AEC2FD8"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unnest(ƒ) %&gt;%</w:t>
      </w:r>
    </w:p>
    <w:p w14:paraId="21F42060"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mutate(trans = stri_replace_first_fixed(trans, "sql_translate_env.", "")) -&gt; xdf)</w:t>
      </w:r>
    </w:p>
    <w:p w14:paraId="2D8AD17A"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 A tibble: 1,318 x 3</w:t>
      </w:r>
    </w:p>
    <w:p w14:paraId="4192FD8D"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pkg       trans              ƒ</w:t>
      </w:r>
    </w:p>
    <w:p w14:paraId="3F15E7F5"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w:t>
      </w:r>
    </w:p>
    <w:p w14:paraId="467084C2"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1 bigrquery BigQueryConnection median</w:t>
      </w:r>
    </w:p>
    <w:p w14:paraId="65A1EFC0"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lastRenderedPageBreak/>
        <w:t>##  2 bigrquery BigQueryConnection gsub</w:t>
      </w:r>
    </w:p>
    <w:p w14:paraId="10777A76"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3 bigrquery BigQueryConnection as.logical</w:t>
      </w:r>
    </w:p>
    <w:p w14:paraId="52A1AEF3"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4 bigrquery BigQueryConnection is.null</w:t>
      </w:r>
    </w:p>
    <w:p w14:paraId="1FC16EF4"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5 bigrquery BigQueryConnection case_when</w:t>
      </w:r>
    </w:p>
    <w:p w14:paraId="5ACA55D7"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6 bigrquery BigQueryConnection is.na</w:t>
      </w:r>
    </w:p>
    <w:p w14:paraId="1F4BF2B9"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7 bigrquery BigQueryConnection if_else</w:t>
      </w:r>
    </w:p>
    <w:p w14:paraId="3FAB5FF9"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8 bigrquery BigQueryConnection str_replace_all</w:t>
      </w:r>
    </w:p>
    <w:p w14:paraId="2C8DB936"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9 bigrquery BigQueryConnection as.integer</w:t>
      </w:r>
    </w:p>
    <w:p w14:paraId="540719B8"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10 bigrquery BigQueryConnection as.character</w:t>
      </w:r>
    </w:p>
    <w:p w14:paraId="2F727E2A"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 … with 1,308 more rows</w:t>
      </w:r>
    </w:p>
    <w:p w14:paraId="565ECE53" w14:textId="77777777" w:rsidR="00D16041" w:rsidRPr="00D16041" w:rsidRDefault="00D16041" w:rsidP="00D16041">
      <w:pPr>
        <w:spacing w:before="100" w:beforeAutospacing="1" w:after="100" w:afterAutospacing="1" w:line="240" w:lineRule="auto"/>
        <w:rPr>
          <w:rFonts w:ascii="Times New Roman" w:eastAsia="Times New Roman" w:hAnsi="Times New Roman" w:cs="Times New Roman"/>
          <w:sz w:val="20"/>
          <w:szCs w:val="20"/>
          <w:lang w:eastAsia="en-IN"/>
        </w:rPr>
      </w:pPr>
      <w:r w:rsidRPr="00D16041">
        <w:rPr>
          <w:rFonts w:ascii="Times New Roman" w:eastAsia="Times New Roman" w:hAnsi="Times New Roman" w:cs="Times New Roman"/>
          <w:sz w:val="20"/>
          <w:szCs w:val="20"/>
          <w:lang w:eastAsia="en-IN"/>
        </w:rPr>
        <w:t xml:space="preserve">The rest is all just </w:t>
      </w:r>
      <w:r w:rsidRPr="00D16041">
        <w:rPr>
          <w:rFonts w:ascii="Courier New" w:eastAsia="Times New Roman" w:hAnsi="Courier New" w:cs="Courier New"/>
          <w:sz w:val="20"/>
          <w:szCs w:val="20"/>
          <w:lang w:eastAsia="en-IN"/>
        </w:rPr>
        <w:t>ggplot2</w:t>
      </w:r>
      <w:r w:rsidRPr="00D16041">
        <w:rPr>
          <w:rFonts w:ascii="Times New Roman" w:eastAsia="Times New Roman" w:hAnsi="Times New Roman" w:cs="Times New Roman"/>
          <w:sz w:val="20"/>
          <w:szCs w:val="20"/>
          <w:lang w:eastAsia="en-IN"/>
        </w:rPr>
        <w:t xml:space="preserve"> basics:</w:t>
      </w:r>
    </w:p>
    <w:p w14:paraId="0E1E216B"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mutate(xdf, db = glue::glue("{pkg}\n{trans}")) %&gt;% # make something useful to display for the DB/conn</w:t>
      </w:r>
    </w:p>
    <w:p w14:paraId="34F4C27D"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mutate(n = 1) %&gt;% # heatmap block on</w:t>
      </w:r>
    </w:p>
    <w:p w14:paraId="2CD60D3A"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complete(db, ƒ) %&gt;% # complete the heatmap</w:t>
      </w:r>
    </w:p>
    <w:p w14:paraId="2AC63F6A"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arrange(ƒ) %&gt;%</w:t>
      </w:r>
    </w:p>
    <w:p w14:paraId="127B9B14"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mutate(ƒ = factor(ƒ, levels=rev(unique(ƒ)))) %&gt;% # arrange the Y axis in the proper order</w:t>
      </w:r>
    </w:p>
    <w:p w14:paraId="2AF91261"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ggplot(aes(db, ƒ)) +</w:t>
      </w:r>
    </w:p>
    <w:p w14:paraId="3042CAFC"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geom_tile(aes(fill = n), color="#2b2b2b", size=0.125, show.legend=FALSE) +</w:t>
      </w:r>
    </w:p>
    <w:p w14:paraId="0D7204C9"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scale_x_discrete(expand=c(0,0.1), position = "top") +</w:t>
      </w:r>
    </w:p>
    <w:p w14:paraId="6A2E4153"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scale_fill_continuous(na.value="white") +</w:t>
      </w:r>
    </w:p>
    <w:p w14:paraId="0B8CF0BC"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labs(</w:t>
      </w:r>
    </w:p>
    <w:p w14:paraId="38FC1F22"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x = NULL, y = NULL,</w:t>
      </w:r>
    </w:p>
    <w:p w14:paraId="3B433617"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title = "SQL Function Support In Known d[b]plyr Backends"</w:t>
      </w:r>
    </w:p>
    <w:p w14:paraId="1C7EE8EC"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 +</w:t>
      </w:r>
    </w:p>
    <w:p w14:paraId="4BBA7409"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theme_ipsum_ps(grid="", axis_text_size = 9) + # you'll need to use the dev version of hrbrthemes for this function; just sub out a diff theme if you already have hrbrthemes loaded</w:t>
      </w:r>
    </w:p>
    <w:p w14:paraId="4B024FFD" w14:textId="77777777" w:rsidR="00D16041" w:rsidRPr="00D16041" w:rsidRDefault="00D16041" w:rsidP="00D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6041">
        <w:rPr>
          <w:rFonts w:ascii="Courier New" w:eastAsia="Times New Roman" w:hAnsi="Courier New" w:cs="Courier New"/>
          <w:sz w:val="20"/>
          <w:szCs w:val="20"/>
          <w:lang w:eastAsia="en-IN"/>
        </w:rPr>
        <w:t xml:space="preserve">  theme(axis.text.y = element_text(family = "mono", size = 7))</w:t>
      </w:r>
    </w:p>
    <w:p w14:paraId="32C38B21" w14:textId="77777777" w:rsidR="00D16041" w:rsidRPr="00D16041" w:rsidRDefault="00D16041" w:rsidP="00D16041">
      <w:pPr>
        <w:spacing w:before="100" w:beforeAutospacing="1" w:after="100" w:afterAutospacing="1" w:line="240" w:lineRule="auto"/>
        <w:rPr>
          <w:rFonts w:ascii="Times New Roman" w:eastAsia="Times New Roman" w:hAnsi="Times New Roman" w:cs="Times New Roman"/>
          <w:sz w:val="20"/>
          <w:szCs w:val="20"/>
          <w:lang w:eastAsia="en-IN"/>
        </w:rPr>
      </w:pPr>
      <w:r w:rsidRPr="00D16041">
        <w:rPr>
          <w:rFonts w:ascii="Times New Roman" w:eastAsia="Times New Roman" w:hAnsi="Times New Roman" w:cs="Times New Roman"/>
          <w:sz w:val="20"/>
          <w:szCs w:val="20"/>
          <w:lang w:eastAsia="en-IN"/>
        </w:rPr>
        <w:t>Which makes:</w:t>
      </w:r>
    </w:p>
    <w:p w14:paraId="12BD5240" w14:textId="77777777" w:rsidR="00D16041" w:rsidRPr="00D16041" w:rsidRDefault="00D16041" w:rsidP="00D16041">
      <w:pPr>
        <w:spacing w:before="100" w:beforeAutospacing="1" w:after="100" w:afterAutospacing="1" w:line="240" w:lineRule="auto"/>
        <w:rPr>
          <w:rFonts w:ascii="Times New Roman" w:eastAsia="Times New Roman" w:hAnsi="Times New Roman" w:cs="Times New Roman"/>
          <w:sz w:val="20"/>
          <w:szCs w:val="20"/>
          <w:lang w:eastAsia="en-IN"/>
        </w:rPr>
      </w:pPr>
      <w:r w:rsidRPr="00D16041">
        <w:rPr>
          <w:rFonts w:ascii="Times New Roman" w:eastAsia="Times New Roman" w:hAnsi="Times New Roman" w:cs="Times New Roman"/>
          <w:noProof/>
          <w:color w:val="0000FF"/>
          <w:sz w:val="20"/>
          <w:szCs w:val="20"/>
          <w:lang w:eastAsia="en-IN"/>
        </w:rPr>
        <w:drawing>
          <wp:inline distT="0" distB="0" distL="0" distR="0" wp14:anchorId="6A19C480" wp14:editId="799455D0">
            <wp:extent cx="4290060" cy="2354580"/>
            <wp:effectExtent l="0" t="0" r="0" b="7620"/>
            <wp:docPr id="2"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354580"/>
                    </a:xfrm>
                    <a:prstGeom prst="rect">
                      <a:avLst/>
                    </a:prstGeom>
                    <a:noFill/>
                    <a:ln>
                      <a:noFill/>
                    </a:ln>
                  </pic:spPr>
                </pic:pic>
              </a:graphicData>
            </a:graphic>
          </wp:inline>
        </w:drawing>
      </w:r>
    </w:p>
    <w:p w14:paraId="04090BE3" w14:textId="77777777" w:rsidR="00D16041" w:rsidRPr="00D16041" w:rsidRDefault="00D16041" w:rsidP="00D16041">
      <w:pPr>
        <w:spacing w:before="100" w:beforeAutospacing="1" w:after="100" w:afterAutospacing="1" w:line="240" w:lineRule="auto"/>
        <w:rPr>
          <w:rFonts w:ascii="Times New Roman" w:eastAsia="Times New Roman" w:hAnsi="Times New Roman" w:cs="Times New Roman"/>
          <w:sz w:val="20"/>
          <w:szCs w:val="20"/>
          <w:lang w:eastAsia="en-IN"/>
        </w:rPr>
      </w:pPr>
      <w:r w:rsidRPr="00D16041">
        <w:rPr>
          <w:rFonts w:ascii="Times New Roman" w:eastAsia="Times New Roman" w:hAnsi="Times New Roman" w:cs="Times New Roman"/>
          <w:sz w:val="20"/>
          <w:szCs w:val="20"/>
          <w:lang w:eastAsia="en-IN"/>
        </w:rPr>
        <w:t>(WP wouldn’t make the featured image linkable so I had to stick it in again to enabled the link so folks can make it full size which is absolutely necessary to see it).</w:t>
      </w:r>
    </w:p>
    <w:p w14:paraId="754E7A0D"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41"/>
    <w:rsid w:val="006E0CEB"/>
    <w:rsid w:val="009F4A73"/>
    <w:rsid w:val="00D16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4809"/>
  <w15:chartTrackingRefBased/>
  <w15:docId w15:val="{F231D941-AB34-46AB-AB35-E4E78F83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833190">
      <w:bodyDiv w:val="1"/>
      <w:marLeft w:val="0"/>
      <w:marRight w:val="0"/>
      <w:marTop w:val="0"/>
      <w:marBottom w:val="0"/>
      <w:divBdr>
        <w:top w:val="none" w:sz="0" w:space="0" w:color="auto"/>
        <w:left w:val="none" w:sz="0" w:space="0" w:color="auto"/>
        <w:bottom w:val="none" w:sz="0" w:space="0" w:color="auto"/>
        <w:right w:val="none" w:sz="0" w:space="0" w:color="auto"/>
      </w:divBdr>
      <w:divsChild>
        <w:div w:id="102387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i2.wp.com/rud.is/b/wp-content/uploads/2019/04/backend-heatmap.jp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2021-11-27T08:10:00Z</dcterms:created>
  <dcterms:modified xsi:type="dcterms:W3CDTF">2022-01-27T09:02:00Z</dcterms:modified>
</cp:coreProperties>
</file>