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827C"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Shiny set of tools, and, by extension,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give professional analysts tools to rapidly put interactive versions of their work in the hands of clients. Frequently, an end user will interact with data by either uploading or downloading a new set in its entirety (typically from a .csv or other similarly structured source), or do so ‘on the fly’ interactively, using tools like </w:t>
      </w:r>
      <w:proofErr w:type="spellStart"/>
      <w:r w:rsidRPr="00A617E0">
        <w:rPr>
          <w:rFonts w:ascii="Times New Roman" w:eastAsia="Times New Roman" w:hAnsi="Times New Roman" w:cs="Times New Roman"/>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What if you want to do both at the same time? That is – what if you want to be able to change data interactively, or completely upload a new database </w:t>
      </w:r>
      <w:r w:rsidRPr="00A617E0">
        <w:rPr>
          <w:rFonts w:ascii="Times New Roman" w:eastAsia="Times New Roman" w:hAnsi="Times New Roman" w:cs="Times New Roman"/>
          <w:i/>
          <w:iCs/>
          <w:sz w:val="20"/>
          <w:szCs w:val="20"/>
          <w:lang w:eastAsia="en-IN"/>
        </w:rPr>
        <w:t>without stopping the current instance</w:t>
      </w:r>
      <w:r w:rsidRPr="00A617E0">
        <w:rPr>
          <w:rFonts w:ascii="Times New Roman" w:eastAsia="Times New Roman" w:hAnsi="Times New Roman" w:cs="Times New Roman"/>
          <w:sz w:val="20"/>
          <w:szCs w:val="20"/>
          <w:lang w:eastAsia="en-IN"/>
        </w:rPr>
        <w:t xml:space="preserve"> or other ‘clunky’ things?</w:t>
      </w:r>
    </w:p>
    <w:p w14:paraId="6EB19D7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It turns out that you can, and the implementation is relatively straightforward. In this post, our aims are to:</w:t>
      </w:r>
      <w:r w:rsidRPr="00A617E0">
        <w:rPr>
          <w:rFonts w:ascii="Times New Roman" w:eastAsia="Times New Roman" w:hAnsi="Times New Roman" w:cs="Times New Roman"/>
          <w:sz w:val="20"/>
          <w:szCs w:val="20"/>
          <w:lang w:eastAsia="en-IN"/>
        </w:rPr>
        <w:br/>
        <w:t>a. Make the reader more familiar with reactivity, particularly with respect to initializing and containerizing variables</w:t>
      </w:r>
      <w:r w:rsidRPr="00A617E0">
        <w:rPr>
          <w:rFonts w:ascii="Times New Roman" w:eastAsia="Times New Roman" w:hAnsi="Times New Roman" w:cs="Times New Roman"/>
          <w:sz w:val="20"/>
          <w:szCs w:val="20"/>
          <w:lang w:eastAsia="en-IN"/>
        </w:rPr>
        <w:br/>
        <w:t xml:space="preserve">b. Show how to manage a single object that can be ‘touched’ by the </w:t>
      </w:r>
      <w:proofErr w:type="spellStart"/>
      <w:r w:rsidRPr="00A617E0">
        <w:rPr>
          <w:rFonts w:ascii="Times New Roman" w:eastAsia="Times New Roman" w:hAnsi="Times New Roman" w:cs="Times New Roman"/>
          <w:sz w:val="20"/>
          <w:szCs w:val="20"/>
          <w:lang w:eastAsia="en-IN"/>
        </w:rPr>
        <w:t>uploadHandler</w:t>
      </w:r>
      <w:proofErr w:type="spellEnd"/>
      <w:r w:rsidRPr="00A617E0">
        <w:rPr>
          <w:rFonts w:ascii="Times New Roman" w:eastAsia="Times New Roman" w:hAnsi="Times New Roman" w:cs="Times New Roman"/>
          <w:sz w:val="20"/>
          <w:szCs w:val="20"/>
          <w:lang w:eastAsia="en-IN"/>
        </w:rPr>
        <w:t xml:space="preserve"> and </w:t>
      </w:r>
      <w:proofErr w:type="spellStart"/>
      <w:r w:rsidRPr="00A617E0">
        <w:rPr>
          <w:rFonts w:ascii="Times New Roman" w:eastAsia="Times New Roman" w:hAnsi="Times New Roman" w:cs="Times New Roman"/>
          <w:sz w:val="20"/>
          <w:szCs w:val="20"/>
          <w:lang w:eastAsia="en-IN"/>
        </w:rPr>
        <w:t>rHandsonTable</w:t>
      </w:r>
      <w:proofErr w:type="spellEnd"/>
      <w:r w:rsidRPr="00A617E0">
        <w:rPr>
          <w:rFonts w:ascii="Times New Roman" w:eastAsia="Times New Roman" w:hAnsi="Times New Roman" w:cs="Times New Roman"/>
          <w:sz w:val="20"/>
          <w:szCs w:val="20"/>
          <w:lang w:eastAsia="en-IN"/>
        </w:rPr>
        <w:br/>
        <w:t xml:space="preserve">c. Provide a worked example in </w:t>
      </w:r>
      <w:proofErr w:type="spellStart"/>
      <w:r w:rsidRPr="00A617E0">
        <w:rPr>
          <w:rFonts w:ascii="Times New Roman" w:eastAsia="Times New Roman" w:hAnsi="Times New Roman" w:cs="Times New Roman"/>
          <w:sz w:val="20"/>
          <w:szCs w:val="20"/>
          <w:lang w:eastAsia="en-IN"/>
        </w:rPr>
        <w:t>Flexdashboard</w:t>
      </w:r>
      <w:proofErr w:type="spellEnd"/>
    </w:p>
    <w:p w14:paraId="2EF3F1CC"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We need to create an environment where a data object that may be manipulated by functions inside an app is initialized to a pre-loaded set. At runtime, the object may be downloaded to a .csv, manipulated directly in a spreadsheet-like interface, or replaced completely with an upload.</w:t>
      </w:r>
    </w:p>
    <w:p w14:paraId="5F8FDED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In the following sections, we highlight the working parts of the minimal example (also provided) based on the attributes of different ships in Star Wars.</w:t>
      </w:r>
    </w:p>
    <w:p w14:paraId="2D6600F5"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1: Initialization</w:t>
      </w:r>
    </w:p>
    <w:p w14:paraId="3D3F78B7"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flexdashboard</w:t>
      </w:r>
      <w:proofErr w:type="spellEnd"/>
      <w:r w:rsidRPr="00A617E0">
        <w:rPr>
          <w:rFonts w:ascii="Courier New" w:eastAsia="Times New Roman" w:hAnsi="Courier New" w:cs="Courier New"/>
          <w:sz w:val="20"/>
          <w:szCs w:val="20"/>
          <w:lang w:eastAsia="en-IN"/>
        </w:rPr>
        <w:t>)</w:t>
      </w:r>
    </w:p>
    <w:p w14:paraId="4706E9C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dplyr</w:t>
      </w:r>
      <w:proofErr w:type="spellEnd"/>
      <w:r w:rsidRPr="00A617E0">
        <w:rPr>
          <w:rFonts w:ascii="Courier New" w:eastAsia="Times New Roman" w:hAnsi="Courier New" w:cs="Courier New"/>
          <w:sz w:val="20"/>
          <w:szCs w:val="20"/>
          <w:lang w:eastAsia="en-IN"/>
        </w:rPr>
        <w:t>)</w:t>
      </w:r>
    </w:p>
    <w:p w14:paraId="6F438DA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magrittr</w:t>
      </w:r>
      <w:proofErr w:type="spellEnd"/>
      <w:r w:rsidRPr="00A617E0">
        <w:rPr>
          <w:rFonts w:ascii="Courier New" w:eastAsia="Times New Roman" w:hAnsi="Courier New" w:cs="Courier New"/>
          <w:sz w:val="20"/>
          <w:szCs w:val="20"/>
          <w:lang w:eastAsia="en-IN"/>
        </w:rPr>
        <w:t>)</w:t>
      </w:r>
    </w:p>
    <w:p w14:paraId="0D9EEE8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rhandsontable</w:t>
      </w:r>
      <w:proofErr w:type="spellEnd"/>
      <w:r w:rsidRPr="00A617E0">
        <w:rPr>
          <w:rFonts w:ascii="Courier New" w:eastAsia="Times New Roman" w:hAnsi="Courier New" w:cs="Courier New"/>
          <w:sz w:val="20"/>
          <w:szCs w:val="20"/>
          <w:lang w:eastAsia="en-IN"/>
        </w:rPr>
        <w:t>)</w:t>
      </w:r>
    </w:p>
    <w:p w14:paraId="25319260"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After calling the applicable libraries (above), we load a starter dataset so that the application isn’t empty when launched. We also create a </w:t>
      </w:r>
      <w:proofErr w:type="spellStart"/>
      <w:r w:rsidRPr="00A617E0">
        <w:rPr>
          <w:rFonts w:ascii="Courier New" w:eastAsia="Times New Roman" w:hAnsi="Courier New" w:cs="Courier New"/>
          <w:sz w:val="20"/>
          <w:szCs w:val="20"/>
          <w:lang w:eastAsia="en-IN"/>
        </w:rPr>
        <w:t>reactiveValues</w:t>
      </w:r>
      <w:proofErr w:type="spellEnd"/>
      <w:r w:rsidRPr="00A617E0">
        <w:rPr>
          <w:rFonts w:ascii="Times New Roman" w:eastAsia="Times New Roman" w:hAnsi="Times New Roman" w:cs="Times New Roman"/>
          <w:sz w:val="20"/>
          <w:szCs w:val="20"/>
          <w:lang w:eastAsia="en-IN"/>
        </w:rPr>
        <w:t xml:space="preserve"> object called </w:t>
      </w:r>
      <w:r w:rsidRPr="00A617E0">
        <w:rPr>
          <w:rFonts w:ascii="Courier New" w:eastAsia="Times New Roman" w:hAnsi="Courier New" w:cs="Courier New"/>
          <w:sz w:val="20"/>
          <w:szCs w:val="20"/>
          <w:lang w:eastAsia="en-IN"/>
        </w:rPr>
        <w:t>values</w:t>
      </w:r>
      <w:r w:rsidRPr="00A617E0">
        <w:rPr>
          <w:rFonts w:ascii="Times New Roman" w:eastAsia="Times New Roman" w:hAnsi="Times New Roman" w:cs="Times New Roman"/>
          <w:sz w:val="20"/>
          <w:szCs w:val="20"/>
          <w:lang w:eastAsia="en-IN"/>
        </w:rPr>
        <w:t xml:space="preserve"> that sets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w:t>
      </w:r>
      <w:r w:rsidRPr="00A617E0">
        <w:rPr>
          <w:rFonts w:ascii="Courier New" w:eastAsia="Times New Roman" w:hAnsi="Courier New" w:cs="Courier New"/>
          <w:sz w:val="20"/>
          <w:szCs w:val="20"/>
          <w:lang w:eastAsia="en-IN"/>
        </w:rPr>
        <w:t>hot</w:t>
      </w:r>
      <w:r w:rsidRPr="00A617E0">
        <w:rPr>
          <w:rFonts w:ascii="Times New Roman" w:eastAsia="Times New Roman" w:hAnsi="Times New Roman" w:cs="Times New Roman"/>
          <w:sz w:val="20"/>
          <w:szCs w:val="20"/>
          <w:lang w:eastAsia="en-IN"/>
        </w:rPr>
        <w:t xml:space="preserve"> to NULL. This is necessary because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is self-referential in the sense that it is both an output and input device.</w:t>
      </w:r>
    </w:p>
    <w:p w14:paraId="79C944D6"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BFL = read.csv("StarterExampleData.csv")</w:t>
      </w:r>
    </w:p>
    <w:p w14:paraId="3962CF6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BFL$Exclude</w:t>
      </w:r>
      <w:proofErr w:type="spellEnd"/>
      <w:r w:rsidRPr="00A617E0">
        <w:rPr>
          <w:rFonts w:ascii="Courier New" w:eastAsia="Times New Roman" w:hAnsi="Courier New" w:cs="Courier New"/>
          <w:sz w:val="20"/>
          <w:szCs w:val="20"/>
          <w:lang w:eastAsia="en-IN"/>
        </w:rPr>
        <w:t xml:space="preserve"> = FALSE</w:t>
      </w:r>
    </w:p>
    <w:p w14:paraId="1EBAD65E"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values &lt;- </w:t>
      </w:r>
      <w:proofErr w:type="spellStart"/>
      <w:r w:rsidRPr="00A617E0">
        <w:rPr>
          <w:rFonts w:ascii="Courier New" w:eastAsia="Times New Roman" w:hAnsi="Courier New" w:cs="Courier New"/>
          <w:sz w:val="20"/>
          <w:szCs w:val="20"/>
          <w:lang w:eastAsia="en-IN"/>
        </w:rPr>
        <w:t>reactiveValues</w:t>
      </w:r>
      <w:proofErr w:type="spellEnd"/>
      <w:r w:rsidRPr="00A617E0">
        <w:rPr>
          <w:rFonts w:ascii="Courier New" w:eastAsia="Times New Roman" w:hAnsi="Courier New" w:cs="Courier New"/>
          <w:sz w:val="20"/>
          <w:szCs w:val="20"/>
          <w:lang w:eastAsia="en-IN"/>
        </w:rPr>
        <w:t>(hot = NULL)</w:t>
      </w:r>
    </w:p>
    <w:p w14:paraId="00BE9FFB"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w:t>
      </w:r>
      <w:r w:rsidRPr="00A617E0">
        <w:rPr>
          <w:rFonts w:ascii="Times New Roman" w:eastAsia="Times New Roman" w:hAnsi="Times New Roman" w:cs="Times New Roman"/>
          <w:b/>
          <w:bCs/>
          <w:sz w:val="20"/>
          <w:szCs w:val="20"/>
          <w:lang w:eastAsia="en-IN"/>
        </w:rPr>
        <w:t>main</w:t>
      </w:r>
      <w:r w:rsidRPr="00A617E0">
        <w:rPr>
          <w:rFonts w:ascii="Times New Roman" w:eastAsia="Times New Roman" w:hAnsi="Times New Roman" w:cs="Times New Roman"/>
          <w:sz w:val="20"/>
          <w:szCs w:val="20"/>
          <w:lang w:eastAsia="en-IN"/>
        </w:rPr>
        <w:t xml:space="preserve"> trick is to hold the R </w:t>
      </w:r>
      <w:proofErr w:type="spellStart"/>
      <w:r w:rsidRPr="00A617E0">
        <w:rPr>
          <w:rFonts w:ascii="Times New Roman" w:eastAsia="Times New Roman" w:hAnsi="Times New Roman" w:cs="Times New Roman"/>
          <w:sz w:val="20"/>
          <w:szCs w:val="20"/>
          <w:lang w:eastAsia="en-IN"/>
        </w:rPr>
        <w:t>dataframe</w:t>
      </w:r>
      <w:proofErr w:type="spellEnd"/>
      <w:r w:rsidRPr="00A617E0">
        <w:rPr>
          <w:rFonts w:ascii="Times New Roman" w:eastAsia="Times New Roman" w:hAnsi="Times New Roman" w:cs="Times New Roman"/>
          <w:sz w:val="20"/>
          <w:szCs w:val="20"/>
          <w:lang w:eastAsia="en-IN"/>
        </w:rPr>
        <w:t xml:space="preserve"> in a reactive environment that responds to both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and the upload handler. This is done by a series of nested </w:t>
      </w:r>
      <w:r w:rsidRPr="00A617E0">
        <w:rPr>
          <w:rFonts w:ascii="Courier New" w:eastAsia="Times New Roman" w:hAnsi="Courier New" w:cs="Courier New"/>
          <w:sz w:val="20"/>
          <w:szCs w:val="20"/>
          <w:lang w:eastAsia="en-IN"/>
        </w:rPr>
        <w:t>if</w:t>
      </w:r>
      <w:r w:rsidRPr="00A617E0">
        <w:rPr>
          <w:rFonts w:ascii="Times New Roman" w:eastAsia="Times New Roman" w:hAnsi="Times New Roman" w:cs="Times New Roman"/>
          <w:sz w:val="20"/>
          <w:szCs w:val="20"/>
          <w:lang w:eastAsia="en-IN"/>
        </w:rPr>
        <w:t xml:space="preserve"> statements, that, in order, make the object equal:</w:t>
      </w:r>
    </w:p>
    <w:p w14:paraId="2C0C0CC4"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the initialization file, if the object is empty (from the previous code chunk),</w:t>
      </w:r>
    </w:p>
    <w:p w14:paraId="655297F7"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the uploaded file (from the upload handler, below),</w:t>
      </w:r>
    </w:p>
    <w:p w14:paraId="2C9CBF21"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and finally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w:t>
      </w:r>
    </w:p>
    <w:p w14:paraId="145D0F6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Note the unglamorous statement </w:t>
      </w:r>
      <w:r w:rsidRPr="00A617E0">
        <w:rPr>
          <w:rFonts w:ascii="Courier New" w:eastAsia="Times New Roman" w:hAnsi="Courier New" w:cs="Courier New"/>
          <w:sz w:val="20"/>
          <w:szCs w:val="20"/>
          <w:lang w:eastAsia="en-IN"/>
        </w:rPr>
        <w:t>read.csv(</w:t>
      </w:r>
      <w:proofErr w:type="spellStart"/>
      <w:r w:rsidRPr="00A617E0">
        <w:rPr>
          <w:rFonts w:ascii="Courier New" w:eastAsia="Times New Roman" w:hAnsi="Courier New" w:cs="Courier New"/>
          <w:sz w:val="20"/>
          <w:szCs w:val="20"/>
          <w:lang w:eastAsia="en-IN"/>
        </w:rPr>
        <w:t>input$InputBFL$datapath</w:t>
      </w:r>
      <w:proofErr w:type="spellEnd"/>
      <w:r w:rsidRPr="00A617E0">
        <w:rPr>
          <w:rFonts w:ascii="Courier New" w:eastAsia="Times New Roman" w:hAnsi="Courier New" w:cs="Courier New"/>
          <w:sz w:val="20"/>
          <w:szCs w:val="20"/>
          <w:lang w:eastAsia="en-IN"/>
        </w:rPr>
        <w:t>)</w:t>
      </w:r>
      <w:r w:rsidRPr="00A617E0">
        <w:rPr>
          <w:rFonts w:ascii="Times New Roman" w:eastAsia="Times New Roman" w:hAnsi="Times New Roman" w:cs="Times New Roman"/>
          <w:sz w:val="20"/>
          <w:szCs w:val="20"/>
          <w:lang w:eastAsia="en-IN"/>
        </w:rPr>
        <w:t>. This is necessary when reading a file provided by an upload handler. Simply reading the handle attached to the csv will point to the ‘box’, not what is ‘in’ the box.</w:t>
      </w:r>
    </w:p>
    <w:p w14:paraId="5125E2E0"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This is different than the approaches advocated on many forums where the initialization is done in the </w:t>
      </w:r>
      <w:proofErr w:type="spellStart"/>
      <w:r w:rsidRPr="00A617E0">
        <w:rPr>
          <w:rFonts w:ascii="Courier New" w:eastAsia="Times New Roman" w:hAnsi="Courier New" w:cs="Courier New"/>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code. That approach is perfectly valid, but does not offer the flexibility of an uploaded file.</w:t>
      </w:r>
    </w:p>
    <w:p w14:paraId="357D852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BFLD = reactive({</w:t>
      </w:r>
    </w:p>
    <w:p w14:paraId="2B6980C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if(</w:t>
      </w:r>
      <w:proofErr w:type="spellStart"/>
      <w:r w:rsidRPr="00A617E0">
        <w:rPr>
          <w:rFonts w:ascii="Courier New" w:eastAsia="Times New Roman" w:hAnsi="Courier New" w:cs="Courier New"/>
          <w:sz w:val="20"/>
          <w:szCs w:val="20"/>
          <w:lang w:eastAsia="en-IN"/>
        </w:rPr>
        <w:t>is.null</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input$hot</w:t>
      </w:r>
      <w:proofErr w:type="spellEnd"/>
      <w:r w:rsidRPr="00A617E0">
        <w:rPr>
          <w:rFonts w:ascii="Courier New" w:eastAsia="Times New Roman" w:hAnsi="Courier New" w:cs="Courier New"/>
          <w:sz w:val="20"/>
          <w:szCs w:val="20"/>
          <w:lang w:eastAsia="en-IN"/>
        </w:rPr>
        <w:t>)){BFL}</w:t>
      </w:r>
    </w:p>
    <w:p w14:paraId="097E562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else if(!</w:t>
      </w:r>
      <w:proofErr w:type="spellStart"/>
      <w:r w:rsidRPr="00A617E0">
        <w:rPr>
          <w:rFonts w:ascii="Courier New" w:eastAsia="Times New Roman" w:hAnsi="Courier New" w:cs="Courier New"/>
          <w:sz w:val="20"/>
          <w:szCs w:val="20"/>
          <w:lang w:eastAsia="en-IN"/>
        </w:rPr>
        <w:t>is.null</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input$InputBFL</w:t>
      </w:r>
      <w:proofErr w:type="spellEnd"/>
      <w:r w:rsidRPr="00A617E0">
        <w:rPr>
          <w:rFonts w:ascii="Courier New" w:eastAsia="Times New Roman" w:hAnsi="Courier New" w:cs="Courier New"/>
          <w:sz w:val="20"/>
          <w:szCs w:val="20"/>
          <w:lang w:eastAsia="en-IN"/>
        </w:rPr>
        <w:t>)){read.csv(</w:t>
      </w:r>
      <w:proofErr w:type="spellStart"/>
      <w:r w:rsidRPr="00A617E0">
        <w:rPr>
          <w:rFonts w:ascii="Courier New" w:eastAsia="Times New Roman" w:hAnsi="Courier New" w:cs="Courier New"/>
          <w:sz w:val="20"/>
          <w:szCs w:val="20"/>
          <w:lang w:eastAsia="en-IN"/>
        </w:rPr>
        <w:t>input$InputBFL$datapath</w:t>
      </w:r>
      <w:proofErr w:type="spellEnd"/>
      <w:r w:rsidRPr="00A617E0">
        <w:rPr>
          <w:rFonts w:ascii="Courier New" w:eastAsia="Times New Roman" w:hAnsi="Courier New" w:cs="Courier New"/>
          <w:sz w:val="20"/>
          <w:szCs w:val="20"/>
          <w:lang w:eastAsia="en-IN"/>
        </w:rPr>
        <w:t xml:space="preserve">)} </w:t>
      </w:r>
    </w:p>
    <w:p w14:paraId="4EBC7D7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else{</w:t>
      </w:r>
    </w:p>
    <w:p w14:paraId="30265A3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spellStart"/>
      <w:r w:rsidRPr="00A617E0">
        <w:rPr>
          <w:rFonts w:ascii="Courier New" w:eastAsia="Times New Roman" w:hAnsi="Courier New" w:cs="Courier New"/>
          <w:sz w:val="20"/>
          <w:szCs w:val="20"/>
          <w:lang w:eastAsia="en-IN"/>
        </w:rPr>
        <w:t>hot_to_r</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input$hot</w:t>
      </w:r>
      <w:proofErr w:type="spellEnd"/>
      <w:r w:rsidRPr="00A617E0">
        <w:rPr>
          <w:rFonts w:ascii="Courier New" w:eastAsia="Times New Roman" w:hAnsi="Courier New" w:cs="Courier New"/>
          <w:sz w:val="20"/>
          <w:szCs w:val="20"/>
          <w:lang w:eastAsia="en-IN"/>
        </w:rPr>
        <w:t>)</w:t>
      </w:r>
    </w:p>
    <w:p w14:paraId="4A606A0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lastRenderedPageBreak/>
        <w:t xml:space="preserve">  }</w:t>
      </w:r>
    </w:p>
    <w:p w14:paraId="6FCFFA76"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18C866FF"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2: File Handlers</w:t>
      </w:r>
    </w:p>
    <w:p w14:paraId="5B240E4A"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Now that we have set up the reactive structure for the object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which can be accessed by other functions inside our code, we add the functionality for the upload and download handlers.</w:t>
      </w:r>
    </w:p>
    <w:p w14:paraId="11451BEE"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download function is two separate items: the </w:t>
      </w:r>
      <w:proofErr w:type="spellStart"/>
      <w:r w:rsidRPr="00A617E0">
        <w:rPr>
          <w:rFonts w:ascii="Courier New" w:eastAsia="Times New Roman" w:hAnsi="Courier New" w:cs="Courier New"/>
          <w:sz w:val="20"/>
          <w:szCs w:val="20"/>
          <w:lang w:eastAsia="en-IN"/>
        </w:rPr>
        <w:t>downloadButton</w:t>
      </w:r>
      <w:proofErr w:type="spellEnd"/>
      <w:r w:rsidRPr="00A617E0">
        <w:rPr>
          <w:rFonts w:ascii="Times New Roman" w:eastAsia="Times New Roman" w:hAnsi="Times New Roman" w:cs="Times New Roman"/>
          <w:sz w:val="20"/>
          <w:szCs w:val="20"/>
          <w:lang w:eastAsia="en-IN"/>
        </w:rPr>
        <w:t xml:space="preserve"> that triggers the action, and the </w:t>
      </w:r>
      <w:proofErr w:type="spellStart"/>
      <w:r w:rsidRPr="00A617E0">
        <w:rPr>
          <w:rFonts w:ascii="Courier New" w:eastAsia="Times New Roman" w:hAnsi="Courier New" w:cs="Courier New"/>
          <w:sz w:val="20"/>
          <w:szCs w:val="20"/>
          <w:lang w:eastAsia="en-IN"/>
        </w:rPr>
        <w:t>downloadHandler</w:t>
      </w:r>
      <w:proofErr w:type="spellEnd"/>
      <w:r w:rsidRPr="00A617E0">
        <w:rPr>
          <w:rFonts w:ascii="Times New Roman" w:eastAsia="Times New Roman" w:hAnsi="Times New Roman" w:cs="Times New Roman"/>
          <w:sz w:val="20"/>
          <w:szCs w:val="20"/>
          <w:lang w:eastAsia="en-IN"/>
        </w:rPr>
        <w:t xml:space="preserve"> that performs the interface. In Shiny apps, the linkage is explicit. In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the linkage is made by putting the handler immediately after the button. </w:t>
      </w:r>
      <w:r w:rsidRPr="00A617E0">
        <w:rPr>
          <w:rFonts w:ascii="Times New Roman" w:eastAsia="Times New Roman" w:hAnsi="Times New Roman" w:cs="Times New Roman"/>
          <w:i/>
          <w:iCs/>
          <w:sz w:val="20"/>
          <w:szCs w:val="20"/>
          <w:lang w:eastAsia="en-IN"/>
        </w:rPr>
        <w:t>Note: The handlers do not always work in the RStudio App window; it may be necessary to ‘open in browser’</w:t>
      </w:r>
    </w:p>
    <w:p w14:paraId="234D344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downloadButton</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StarWarsDownload</w:t>
      </w:r>
      <w:proofErr w:type="spellEnd"/>
      <w:r w:rsidRPr="00A617E0">
        <w:rPr>
          <w:rFonts w:ascii="Courier New" w:eastAsia="Times New Roman" w:hAnsi="Courier New" w:cs="Courier New"/>
          <w:sz w:val="20"/>
          <w:szCs w:val="20"/>
          <w:lang w:eastAsia="en-IN"/>
        </w:rPr>
        <w:t>", label = "Star Wars Download")</w:t>
      </w:r>
    </w:p>
    <w:p w14:paraId="63DB782F"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downloadHandler</w:t>
      </w:r>
      <w:proofErr w:type="spellEnd"/>
      <w:r w:rsidRPr="00A617E0">
        <w:rPr>
          <w:rFonts w:ascii="Courier New" w:eastAsia="Times New Roman" w:hAnsi="Courier New" w:cs="Courier New"/>
          <w:sz w:val="20"/>
          <w:szCs w:val="20"/>
          <w:lang w:eastAsia="en-IN"/>
        </w:rPr>
        <w:t>(</w:t>
      </w:r>
    </w:p>
    <w:p w14:paraId="759E8E9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filename = function(){"Star_Wars_Download.csv"},</w:t>
      </w:r>
    </w:p>
    <w:p w14:paraId="5ED1502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content = function(file){</w:t>
      </w:r>
    </w:p>
    <w:p w14:paraId="1EFD00F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write.csv(BFLD(), file)</w:t>
      </w:r>
    </w:p>
    <w:p w14:paraId="6B1A2BC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
    <w:p w14:paraId="660DCE9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3ABBC00A"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upload function is a single block. Here the input File is linked to the reactive variable built in Step 1 by the handle </w:t>
      </w:r>
      <w:proofErr w:type="spellStart"/>
      <w:r w:rsidRPr="00A617E0">
        <w:rPr>
          <w:rFonts w:ascii="Courier New" w:eastAsia="Times New Roman" w:hAnsi="Courier New" w:cs="Courier New"/>
          <w:sz w:val="20"/>
          <w:szCs w:val="20"/>
          <w:lang w:eastAsia="en-IN"/>
        </w:rPr>
        <w:t>input$InputBFL</w:t>
      </w:r>
      <w:proofErr w:type="spellEnd"/>
      <w:r w:rsidRPr="00A617E0">
        <w:rPr>
          <w:rFonts w:ascii="Times New Roman" w:eastAsia="Times New Roman" w:hAnsi="Times New Roman" w:cs="Times New Roman"/>
          <w:sz w:val="20"/>
          <w:szCs w:val="20"/>
          <w:lang w:eastAsia="en-IN"/>
        </w:rPr>
        <w:t>.</w:t>
      </w:r>
    </w:p>
    <w:p w14:paraId="4FC30E2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fileInput</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InputBFL</w:t>
      </w:r>
      <w:proofErr w:type="spellEnd"/>
      <w:r w:rsidRPr="00A617E0">
        <w:rPr>
          <w:rFonts w:ascii="Courier New" w:eastAsia="Times New Roman" w:hAnsi="Courier New" w:cs="Courier New"/>
          <w:sz w:val="20"/>
          <w:szCs w:val="20"/>
          <w:lang w:eastAsia="en-IN"/>
        </w:rPr>
        <w:t>", "Choose CSV File",</w:t>
      </w:r>
    </w:p>
    <w:p w14:paraId="0902FC2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multiple = FALSE,</w:t>
      </w:r>
    </w:p>
    <w:p w14:paraId="52906C6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accept = c("text/csv",</w:t>
      </w:r>
    </w:p>
    <w:p w14:paraId="099AF45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"text/comma-separated-</w:t>
      </w:r>
      <w:proofErr w:type="spellStart"/>
      <w:r w:rsidRPr="00A617E0">
        <w:rPr>
          <w:rFonts w:ascii="Courier New" w:eastAsia="Times New Roman" w:hAnsi="Courier New" w:cs="Courier New"/>
          <w:sz w:val="20"/>
          <w:szCs w:val="20"/>
          <w:lang w:eastAsia="en-IN"/>
        </w:rPr>
        <w:t>values,text</w:t>
      </w:r>
      <w:proofErr w:type="spellEnd"/>
      <w:r w:rsidRPr="00A617E0">
        <w:rPr>
          <w:rFonts w:ascii="Courier New" w:eastAsia="Times New Roman" w:hAnsi="Courier New" w:cs="Courier New"/>
          <w:sz w:val="20"/>
          <w:szCs w:val="20"/>
          <w:lang w:eastAsia="en-IN"/>
        </w:rPr>
        <w:t>/plain",</w:t>
      </w:r>
    </w:p>
    <w:p w14:paraId="189CC0C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".csv"))</w:t>
      </w:r>
    </w:p>
    <w:p w14:paraId="509BEF27"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3: Hands On Table</w:t>
      </w:r>
    </w:p>
    <w:p w14:paraId="09327DBE"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In the final step, we transform the stored reactive object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xml:space="preserve"> into a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and output. Note that because it is a reactive object, we call it as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xml:space="preserve"> with parentheses, and inside a ‘render’ context.</w:t>
      </w:r>
    </w:p>
    <w:p w14:paraId="710E9BF1"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output$hot</w:t>
      </w:r>
      <w:proofErr w:type="spellEnd"/>
      <w:r w:rsidRPr="00A617E0">
        <w:rPr>
          <w:rFonts w:ascii="Courier New" w:eastAsia="Times New Roman" w:hAnsi="Courier New" w:cs="Courier New"/>
          <w:sz w:val="20"/>
          <w:szCs w:val="20"/>
          <w:lang w:eastAsia="en-IN"/>
        </w:rPr>
        <w:t xml:space="preserve"> = </w:t>
      </w:r>
      <w:proofErr w:type="spellStart"/>
      <w:r w:rsidRPr="00A617E0">
        <w:rPr>
          <w:rFonts w:ascii="Courier New" w:eastAsia="Times New Roman" w:hAnsi="Courier New" w:cs="Courier New"/>
          <w:sz w:val="20"/>
          <w:szCs w:val="20"/>
          <w:lang w:eastAsia="en-IN"/>
        </w:rPr>
        <w:t>renderRHandsontable</w:t>
      </w:r>
      <w:proofErr w:type="spellEnd"/>
      <w:r w:rsidRPr="00A617E0">
        <w:rPr>
          <w:rFonts w:ascii="Courier New" w:eastAsia="Times New Roman" w:hAnsi="Courier New" w:cs="Courier New"/>
          <w:sz w:val="20"/>
          <w:szCs w:val="20"/>
          <w:lang w:eastAsia="en-IN"/>
        </w:rPr>
        <w:t>({</w:t>
      </w:r>
    </w:p>
    <w:p w14:paraId="5881560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spellStart"/>
      <w:r w:rsidRPr="00A617E0">
        <w:rPr>
          <w:rFonts w:ascii="Courier New" w:eastAsia="Times New Roman" w:hAnsi="Courier New" w:cs="Courier New"/>
          <w:sz w:val="20"/>
          <w:szCs w:val="20"/>
          <w:lang w:eastAsia="en-IN"/>
        </w:rPr>
        <w:t>rhandsontable</w:t>
      </w:r>
      <w:proofErr w:type="spellEnd"/>
      <w:r w:rsidRPr="00A617E0">
        <w:rPr>
          <w:rFonts w:ascii="Courier New" w:eastAsia="Times New Roman" w:hAnsi="Courier New" w:cs="Courier New"/>
          <w:sz w:val="20"/>
          <w:szCs w:val="20"/>
          <w:lang w:eastAsia="en-IN"/>
        </w:rPr>
        <w:t xml:space="preserve">(BFLD(), height = 550) %&gt;%  </w:t>
      </w:r>
      <w:proofErr w:type="spellStart"/>
      <w:r w:rsidRPr="00A617E0">
        <w:rPr>
          <w:rFonts w:ascii="Courier New" w:eastAsia="Times New Roman" w:hAnsi="Courier New" w:cs="Courier New"/>
          <w:sz w:val="20"/>
          <w:szCs w:val="20"/>
          <w:lang w:eastAsia="en-IN"/>
        </w:rPr>
        <w:t>hot_rows</w:t>
      </w:r>
      <w:proofErr w:type="spellEnd"/>
      <w:r w:rsidRPr="00A617E0">
        <w:rPr>
          <w:rFonts w:ascii="Courier New" w:eastAsia="Times New Roman" w:hAnsi="Courier New" w:cs="Courier New"/>
          <w:sz w:val="20"/>
          <w:szCs w:val="20"/>
          <w:lang w:eastAsia="en-IN"/>
        </w:rPr>
        <w:t>()</w:t>
      </w:r>
    </w:p>
    <w:p w14:paraId="74CF00F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4465188A"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rHandsontableOutput</w:t>
      </w:r>
      <w:proofErr w:type="spellEnd"/>
      <w:r w:rsidRPr="00A617E0">
        <w:rPr>
          <w:rFonts w:ascii="Courier New" w:eastAsia="Times New Roman" w:hAnsi="Courier New" w:cs="Courier New"/>
          <w:sz w:val="20"/>
          <w:szCs w:val="20"/>
          <w:lang w:eastAsia="en-IN"/>
        </w:rPr>
        <w:t xml:space="preserve">("hot") </w:t>
      </w:r>
    </w:p>
    <w:p w14:paraId="756B3614"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Conclusion</w:t>
      </w:r>
    </w:p>
    <w:p w14:paraId="2D069634" w14:textId="5AEE4248"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We hope that this minimal example will help you use both </w:t>
      </w:r>
      <w:proofErr w:type="spellStart"/>
      <w:r w:rsidRPr="00A617E0">
        <w:rPr>
          <w:rFonts w:ascii="Courier New" w:eastAsia="Times New Roman" w:hAnsi="Courier New" w:cs="Courier New"/>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and upload/download handlers in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There should be enough code and explanations here for simpler cases. These code chunks should help you worry less about IO handling in your applications and spend more time on graphics and analysis. </w:t>
      </w:r>
    </w:p>
    <w:p w14:paraId="70BD02F5"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While we did not develop it here, it seems that this same construct could be used to add a web-based data source.</w:t>
      </w:r>
    </w:p>
    <w:p w14:paraId="06C9FF93"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924"/>
    <w:multiLevelType w:val="multilevel"/>
    <w:tmpl w:val="6EB6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E0"/>
    <w:rsid w:val="000E6FCF"/>
    <w:rsid w:val="00A617E0"/>
    <w:rsid w:val="00F6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4E45"/>
  <w15:chartTrackingRefBased/>
  <w15:docId w15:val="{82388378-ED99-4AD5-B996-4092A67D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2021-12-01T07:37:00Z</dcterms:created>
  <dcterms:modified xsi:type="dcterms:W3CDTF">2022-01-24T05:50:00Z</dcterms:modified>
</cp:coreProperties>
</file>