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64B5"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Introduction</w:t>
      </w:r>
    </w:p>
    <w:p w14:paraId="2536667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Survival analysis is used to analyze the time until the occurrence of an event (or multiple events). </w:t>
      </w:r>
      <w:hyperlink r:id="rId5" w:anchor="The_Cox_model" w:tgtFrame="_blank" w:history="1">
        <w:r w:rsidRPr="00EF5838">
          <w:rPr>
            <w:rFonts w:ascii="Times New Roman" w:eastAsia="Times New Roman" w:hAnsi="Times New Roman" w:cs="Times New Roman"/>
            <w:color w:val="0000FF"/>
            <w:sz w:val="20"/>
            <w:szCs w:val="20"/>
            <w:u w:val="single"/>
            <w:lang w:eastAsia="en-IN"/>
          </w:rPr>
          <w:t>Cox models</w:t>
        </w:r>
      </w:hyperlink>
      <w:r w:rsidRPr="00EF5838">
        <w:rPr>
          <w:rFonts w:ascii="Times New Roman" w:eastAsia="Times New Roman" w:hAnsi="Times New Roman" w:cs="Times New Roman"/>
          <w:sz w:val="20"/>
          <w:szCs w:val="20"/>
          <w:lang w:eastAsia="en-IN"/>
        </w:rPr>
        <w:t>—which are often referred to as semiparametric because they do not assume any particular baseline survival distribution—are perhaps the most widely used technique; however, Cox models are not without limitations and parametric approaches can be advantageous in many contexts. For instance, parametric survival models are essential for extrapolating survival outcomes beyond the available follow-up data. For this reason they are nearly always used in health-economic evaluations where it is necessary to consider the lifetime health effects (and costs) of medical interventions.</w:t>
      </w:r>
    </w:p>
    <w:p w14:paraId="3305E6F5" w14:textId="17DDCE1D"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contains a large number of packages related to biostatistics and its support for parametric survival modeling is no different. Below we will examine a range of parametric survival distributions, their specifications in </w:t>
      </w: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and the hazard shapes they support. We will then show how the </w:t>
      </w:r>
      <w:r w:rsidRPr="00EF5838">
        <w:rPr>
          <w:rFonts w:ascii="Courier New" w:eastAsia="Times New Roman" w:hAnsi="Courier New" w:cs="Courier New"/>
          <w:color w:val="0000FF"/>
          <w:sz w:val="20"/>
          <w:szCs w:val="20"/>
          <w:u w:val="single"/>
          <w:lang w:eastAsia="en-IN"/>
        </w:rPr>
        <w:t>flexsurv</w:t>
      </w:r>
      <w:r w:rsidRPr="00EF5838">
        <w:rPr>
          <w:rFonts w:ascii="Times New Roman" w:eastAsia="Times New Roman" w:hAnsi="Times New Roman" w:cs="Times New Roman"/>
          <w:sz w:val="20"/>
          <w:szCs w:val="20"/>
          <w:lang w:eastAsia="en-IN"/>
        </w:rPr>
        <w:t xml:space="preserve"> package can make parametric regression modeling of survival data straightforward.</w:t>
      </w:r>
    </w:p>
    <w:p w14:paraId="047A04EC"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Survival distributions</w:t>
      </w:r>
    </w:p>
    <w:p w14:paraId="581B82E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primary quantity of interest in survival analysis is the survivor function, defined as the probability of survival beyond time $t$,</w:t>
      </w:r>
    </w:p>
    <w:p w14:paraId="32791E4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where $T$ is a random variable denoting the time that the event occurs. The survival function is the complement of the cumulative density function (CDF), $F(t) = \int_0^t f(u)du$, where $f(t)$ is the probability density function (PDF).</w:t>
      </w:r>
    </w:p>
    <w:p w14:paraId="6B8C2FA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function, or the instantaneous rate at which an event occurs at time $t$ given survival until time $t$ is given by,</w:t>
      </w:r>
    </w:p>
    <w:p w14:paraId="7C0D4F5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survivor function can also be expressed in terms of the cumulative hazard function, $\Lambda(t) = \int_0^t \lambda (u)du$,</w:t>
      </w:r>
    </w:p>
    <w:p w14:paraId="25AAB56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functions for parametric distributions used for survival analysis are shown in the table below. The default </w:t>
      </w:r>
      <w:r w:rsidRPr="00EF5838">
        <w:rPr>
          <w:rFonts w:ascii="Courier New" w:eastAsia="Times New Roman" w:hAnsi="Courier New" w:cs="Courier New"/>
          <w:sz w:val="20"/>
          <w:szCs w:val="20"/>
          <w:lang w:eastAsia="en-IN"/>
        </w:rPr>
        <w:t>stats</w:t>
      </w:r>
      <w:r w:rsidRPr="00EF5838">
        <w:rPr>
          <w:rFonts w:ascii="Times New Roman" w:eastAsia="Times New Roman" w:hAnsi="Times New Roman" w:cs="Times New Roman"/>
          <w:sz w:val="20"/>
          <w:szCs w:val="20"/>
          <w:lang w:eastAsia="en-IN"/>
        </w:rPr>
        <w:t xml:space="preserve"> package contains functions for the PDF, the CDF, and random number generation for many of the distributions. Additional distributions as well as support for hazard functions are provided by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1977"/>
        <w:gridCol w:w="1977"/>
        <w:gridCol w:w="1977"/>
        <w:gridCol w:w="1956"/>
      </w:tblGrid>
      <w:tr w:rsidR="00EF5838" w:rsidRPr="00EF5838" w14:paraId="55B26BDB" w14:textId="77777777" w:rsidTr="00EF5838">
        <w:trPr>
          <w:tblHeader/>
          <w:tblCellSpacing w:w="15" w:type="dxa"/>
        </w:trPr>
        <w:tc>
          <w:tcPr>
            <w:tcW w:w="0" w:type="auto"/>
            <w:vAlign w:val="center"/>
            <w:hideMark/>
          </w:tcPr>
          <w:p w14:paraId="20FEB5D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92EF7D"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PDF </w:t>
            </w:r>
          </w:p>
        </w:tc>
        <w:tc>
          <w:tcPr>
            <w:tcW w:w="0" w:type="auto"/>
            <w:vAlign w:val="center"/>
            <w:hideMark/>
          </w:tcPr>
          <w:p w14:paraId="2DFA8E50"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CDF </w:t>
            </w:r>
          </w:p>
        </w:tc>
        <w:tc>
          <w:tcPr>
            <w:tcW w:w="0" w:type="auto"/>
            <w:vAlign w:val="center"/>
            <w:hideMark/>
          </w:tcPr>
          <w:p w14:paraId="00326F3B"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Hazard </w:t>
            </w:r>
          </w:p>
        </w:tc>
        <w:tc>
          <w:tcPr>
            <w:tcW w:w="0" w:type="auto"/>
            <w:vAlign w:val="center"/>
            <w:hideMark/>
          </w:tcPr>
          <w:p w14:paraId="29E1C795" w14:textId="77777777" w:rsidR="00EF5838" w:rsidRPr="00EF5838" w:rsidRDefault="00EF5838" w:rsidP="00EF5838">
            <w:pPr>
              <w:spacing w:after="0" w:line="240" w:lineRule="auto"/>
              <w:rPr>
                <w:rFonts w:ascii="Times New Roman" w:eastAsia="Times New Roman" w:hAnsi="Times New Roman" w:cs="Times New Roman"/>
                <w:b/>
                <w:bCs/>
                <w:sz w:val="24"/>
                <w:szCs w:val="24"/>
                <w:lang w:eastAsia="en-IN"/>
              </w:rPr>
            </w:pPr>
            <w:r w:rsidRPr="00EF5838">
              <w:rPr>
                <w:rFonts w:ascii="Times New Roman" w:eastAsia="Times New Roman" w:hAnsi="Times New Roman" w:cs="Times New Roman"/>
                <w:b/>
                <w:bCs/>
                <w:sz w:val="24"/>
                <w:szCs w:val="24"/>
                <w:lang w:eastAsia="en-IN"/>
              </w:rPr>
              <w:t xml:space="preserve">Random sampling </w:t>
            </w:r>
          </w:p>
        </w:tc>
      </w:tr>
      <w:tr w:rsidR="00EF5838" w:rsidRPr="00EF5838" w14:paraId="2EE52B79" w14:textId="77777777" w:rsidTr="00EF5838">
        <w:trPr>
          <w:tblCellSpacing w:w="15" w:type="dxa"/>
        </w:trPr>
        <w:tc>
          <w:tcPr>
            <w:tcW w:w="0" w:type="auto"/>
            <w:vAlign w:val="center"/>
            <w:hideMark/>
          </w:tcPr>
          <w:p w14:paraId="38E098C9"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Exponential </w:t>
            </w:r>
          </w:p>
        </w:tc>
        <w:tc>
          <w:tcPr>
            <w:tcW w:w="0" w:type="auto"/>
            <w:vAlign w:val="center"/>
            <w:hideMark/>
          </w:tcPr>
          <w:p w14:paraId="1B5223E6" w14:textId="4D0923A9"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stats::dexp</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937EFF8" w14:textId="40971E0A"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stats::pexp</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1FDC686" w14:textId="67E78A8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flexsurv::hexp</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6FB5DCD1" w14:textId="1FFDA414"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flexsurv::rexp</w:t>
            </w:r>
            <w:r w:rsidRPr="00EF5838">
              <w:rPr>
                <w:rFonts w:ascii="Times New Roman" w:eastAsia="Times New Roman" w:hAnsi="Times New Roman" w:cs="Times New Roman"/>
                <w:sz w:val="24"/>
                <w:szCs w:val="24"/>
                <w:lang w:eastAsia="en-IN"/>
              </w:rPr>
              <w:t xml:space="preserve"> </w:t>
            </w:r>
          </w:p>
        </w:tc>
      </w:tr>
      <w:tr w:rsidR="00EF5838" w:rsidRPr="00EF5838" w14:paraId="6F7388D2" w14:textId="77777777" w:rsidTr="00EF5838">
        <w:trPr>
          <w:tblCellSpacing w:w="15" w:type="dxa"/>
        </w:trPr>
        <w:tc>
          <w:tcPr>
            <w:tcW w:w="0" w:type="auto"/>
            <w:vAlign w:val="center"/>
            <w:hideMark/>
          </w:tcPr>
          <w:p w14:paraId="28C18A04"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Weibull (AFT) </w:t>
            </w:r>
          </w:p>
        </w:tc>
        <w:tc>
          <w:tcPr>
            <w:tcW w:w="0" w:type="auto"/>
            <w:vAlign w:val="center"/>
            <w:hideMark/>
          </w:tcPr>
          <w:p w14:paraId="23D872C1" w14:textId="7D772301"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stats::dweibull</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1B70B8A" w14:textId="37B734E4"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stats::pweibull</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2642742B" w14:textId="7F7BC7C8"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flexsurv::hweibull</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E6F5097" w14:textId="0093F7EC"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stats::rweibull</w:t>
            </w:r>
            <w:r w:rsidRPr="00EF5838">
              <w:rPr>
                <w:rFonts w:ascii="Times New Roman" w:eastAsia="Times New Roman" w:hAnsi="Times New Roman" w:cs="Times New Roman"/>
                <w:sz w:val="24"/>
                <w:szCs w:val="24"/>
                <w:lang w:eastAsia="en-IN"/>
              </w:rPr>
              <w:t xml:space="preserve"> </w:t>
            </w:r>
          </w:p>
        </w:tc>
      </w:tr>
      <w:tr w:rsidR="00EF5838" w:rsidRPr="00EF5838" w14:paraId="56E04723" w14:textId="77777777" w:rsidTr="00EF5838">
        <w:trPr>
          <w:tblCellSpacing w:w="15" w:type="dxa"/>
        </w:trPr>
        <w:tc>
          <w:tcPr>
            <w:tcW w:w="0" w:type="auto"/>
            <w:vAlign w:val="center"/>
            <w:hideMark/>
          </w:tcPr>
          <w:p w14:paraId="3E54C392"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Weibull (PH) </w:t>
            </w:r>
          </w:p>
        </w:tc>
        <w:tc>
          <w:tcPr>
            <w:tcW w:w="0" w:type="auto"/>
            <w:vAlign w:val="center"/>
            <w:hideMark/>
          </w:tcPr>
          <w:p w14:paraId="54DF8570" w14:textId="7717139C"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flexsurv::dweibullPH</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E0F0BE1" w14:textId="42C6BFE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flexsurv::pweibullPH</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24789AF" w14:textId="4AA923A4"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flexsurv::hweibullPH</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D79DB56" w14:textId="1A92EE88"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flexsurv::rweibullPH</w:t>
            </w:r>
            <w:r w:rsidRPr="00EF5838">
              <w:rPr>
                <w:rFonts w:ascii="Times New Roman" w:eastAsia="Times New Roman" w:hAnsi="Times New Roman" w:cs="Times New Roman"/>
                <w:sz w:val="24"/>
                <w:szCs w:val="24"/>
                <w:lang w:eastAsia="en-IN"/>
              </w:rPr>
              <w:t xml:space="preserve"> </w:t>
            </w:r>
          </w:p>
        </w:tc>
      </w:tr>
      <w:tr w:rsidR="00EF5838" w:rsidRPr="00EF5838" w14:paraId="70674C4D" w14:textId="77777777" w:rsidTr="00EF5838">
        <w:trPr>
          <w:tblCellSpacing w:w="15" w:type="dxa"/>
        </w:trPr>
        <w:tc>
          <w:tcPr>
            <w:tcW w:w="0" w:type="auto"/>
            <w:vAlign w:val="center"/>
            <w:hideMark/>
          </w:tcPr>
          <w:p w14:paraId="7515DBD5"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Gompertz </w:t>
            </w:r>
          </w:p>
        </w:tc>
        <w:tc>
          <w:tcPr>
            <w:tcW w:w="0" w:type="auto"/>
            <w:vAlign w:val="center"/>
            <w:hideMark/>
          </w:tcPr>
          <w:p w14:paraId="629F7D94" w14:textId="12DEA42A"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flexsurv::dgompertz</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BA172B5" w14:textId="310FD6E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flexsurv::pgompertz</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BBA385D" w14:textId="211987F3"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flexsurv::hgompertz</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210FA83" w14:textId="4A6E588E"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flexsurv::rgompertz</w:t>
            </w:r>
            <w:r w:rsidRPr="00EF5838">
              <w:rPr>
                <w:rFonts w:ascii="Times New Roman" w:eastAsia="Times New Roman" w:hAnsi="Times New Roman" w:cs="Times New Roman"/>
                <w:sz w:val="24"/>
                <w:szCs w:val="24"/>
                <w:lang w:eastAsia="en-IN"/>
              </w:rPr>
              <w:t xml:space="preserve"> </w:t>
            </w:r>
          </w:p>
        </w:tc>
      </w:tr>
      <w:tr w:rsidR="00EF5838" w:rsidRPr="00EF5838" w14:paraId="47628D0A" w14:textId="77777777" w:rsidTr="00EF5838">
        <w:trPr>
          <w:tblCellSpacing w:w="15" w:type="dxa"/>
        </w:trPr>
        <w:tc>
          <w:tcPr>
            <w:tcW w:w="0" w:type="auto"/>
            <w:vAlign w:val="center"/>
            <w:hideMark/>
          </w:tcPr>
          <w:p w14:paraId="45E72893"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Gamma </w:t>
            </w:r>
          </w:p>
        </w:tc>
        <w:tc>
          <w:tcPr>
            <w:tcW w:w="0" w:type="auto"/>
            <w:vAlign w:val="center"/>
            <w:hideMark/>
          </w:tcPr>
          <w:p w14:paraId="500C59F5" w14:textId="50B4104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stats::dgamma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04E3DB95" w14:textId="07E1302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stats::pgamma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46B92DC" w14:textId="57F38408"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flexsurv::hgamma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DEDD073" w14:textId="1740998E"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stats::rgamma</w:t>
            </w:r>
            <w:r w:rsidRPr="00EF5838">
              <w:rPr>
                <w:rFonts w:ascii="Times New Roman" w:eastAsia="Times New Roman" w:hAnsi="Times New Roman" w:cs="Times New Roman"/>
                <w:sz w:val="24"/>
                <w:szCs w:val="24"/>
                <w:lang w:eastAsia="en-IN"/>
              </w:rPr>
              <w:t xml:space="preserve"> </w:t>
            </w:r>
          </w:p>
        </w:tc>
      </w:tr>
      <w:tr w:rsidR="00EF5838" w:rsidRPr="00EF5838" w14:paraId="0B8841F6" w14:textId="77777777" w:rsidTr="00EF5838">
        <w:trPr>
          <w:tblCellSpacing w:w="15" w:type="dxa"/>
        </w:trPr>
        <w:tc>
          <w:tcPr>
            <w:tcW w:w="0" w:type="auto"/>
            <w:vAlign w:val="center"/>
            <w:hideMark/>
          </w:tcPr>
          <w:p w14:paraId="2AC99A7E"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Lognormal </w:t>
            </w:r>
          </w:p>
        </w:tc>
        <w:tc>
          <w:tcPr>
            <w:tcW w:w="0" w:type="auto"/>
            <w:vAlign w:val="center"/>
            <w:hideMark/>
          </w:tcPr>
          <w:p w14:paraId="13388FCB" w14:textId="50D06561"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stats::dlnorm</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7BF1252D" w14:textId="154F612C"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stats::plnorm</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6D2C25A8" w14:textId="576D7429"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flexsurv::hlnorm</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1AD970A" w14:textId="1F8C76F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stats::rlnorm</w:t>
            </w:r>
            <w:r w:rsidRPr="00EF5838">
              <w:rPr>
                <w:rFonts w:ascii="Times New Roman" w:eastAsia="Times New Roman" w:hAnsi="Times New Roman" w:cs="Times New Roman"/>
                <w:sz w:val="24"/>
                <w:szCs w:val="24"/>
                <w:lang w:eastAsia="en-IN"/>
              </w:rPr>
              <w:t xml:space="preserve"> </w:t>
            </w:r>
          </w:p>
        </w:tc>
      </w:tr>
      <w:tr w:rsidR="00EF5838" w:rsidRPr="00EF5838" w14:paraId="303693DE" w14:textId="77777777" w:rsidTr="00EF5838">
        <w:trPr>
          <w:tblCellSpacing w:w="15" w:type="dxa"/>
        </w:trPr>
        <w:tc>
          <w:tcPr>
            <w:tcW w:w="0" w:type="auto"/>
            <w:vAlign w:val="center"/>
            <w:hideMark/>
          </w:tcPr>
          <w:p w14:paraId="0557405B"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t xml:space="preserve">Log-logistic </w:t>
            </w:r>
          </w:p>
        </w:tc>
        <w:tc>
          <w:tcPr>
            <w:tcW w:w="0" w:type="auto"/>
            <w:vAlign w:val="center"/>
            <w:hideMark/>
          </w:tcPr>
          <w:p w14:paraId="7F4C8932" w14:textId="3154AD5D"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flexsurv::dllogis</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36382E76" w14:textId="0291EFC9"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flexsurv::pllogis</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245B42E7" w14:textId="4598F2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flexsurv::hllogis</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5C22702F" w14:textId="064107F4"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flexsurv::rllogis</w:t>
            </w:r>
            <w:r w:rsidRPr="00EF5838">
              <w:rPr>
                <w:rFonts w:ascii="Times New Roman" w:eastAsia="Times New Roman" w:hAnsi="Times New Roman" w:cs="Times New Roman"/>
                <w:sz w:val="24"/>
                <w:szCs w:val="24"/>
                <w:lang w:eastAsia="en-IN"/>
              </w:rPr>
              <w:t xml:space="preserve"> </w:t>
            </w:r>
          </w:p>
        </w:tc>
      </w:tr>
      <w:tr w:rsidR="00EF5838" w:rsidRPr="00EF5838" w14:paraId="549810CE" w14:textId="77777777" w:rsidTr="00EF5838">
        <w:trPr>
          <w:tblCellSpacing w:w="15" w:type="dxa"/>
        </w:trPr>
        <w:tc>
          <w:tcPr>
            <w:tcW w:w="0" w:type="auto"/>
            <w:vAlign w:val="center"/>
            <w:hideMark/>
          </w:tcPr>
          <w:p w14:paraId="38D3687E" w14:textId="77777777"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sz w:val="24"/>
                <w:szCs w:val="24"/>
                <w:lang w:eastAsia="en-IN"/>
              </w:rPr>
              <w:lastRenderedPageBreak/>
              <w:t xml:space="preserve">Generalized gamma </w:t>
            </w:r>
          </w:p>
        </w:tc>
        <w:tc>
          <w:tcPr>
            <w:tcW w:w="0" w:type="auto"/>
            <w:vAlign w:val="center"/>
            <w:hideMark/>
          </w:tcPr>
          <w:p w14:paraId="215C7022" w14:textId="2C81EDE1"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flexsurv::dgen</w:t>
            </w:r>
            <w:r w:rsidRPr="00EF5838">
              <w:rPr>
                <w:rFonts w:ascii="Times New Roman" w:eastAsia="Times New Roman" w:hAnsi="Times New Roman" w:cs="Times New Roman"/>
                <w:color w:val="0000FF"/>
                <w:sz w:val="24"/>
                <w:szCs w:val="24"/>
                <w:u w:val="single"/>
                <w:lang w:eastAsia="en-IN"/>
              </w:rPr>
              <w:t>g</w:t>
            </w:r>
            <w:r w:rsidRPr="00EF5838">
              <w:rPr>
                <w:rFonts w:ascii="Times New Roman" w:eastAsia="Times New Roman" w:hAnsi="Times New Roman" w:cs="Times New Roman"/>
                <w:color w:val="0000FF"/>
                <w:sz w:val="24"/>
                <w:szCs w:val="24"/>
                <w:u w:val="single"/>
                <w:lang w:eastAsia="en-IN"/>
              </w:rPr>
              <w:t>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72469154" w14:textId="12036A4F"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flexsurv::pgengamma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18424093" w14:textId="5708306A"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flexsurv::hgengamma</w:t>
            </w:r>
            <w:r w:rsidRPr="00EF5838">
              <w:rPr>
                <w:rFonts w:ascii="Times New Roman" w:eastAsia="Times New Roman" w:hAnsi="Times New Roman" w:cs="Times New Roman"/>
                <w:sz w:val="24"/>
                <w:szCs w:val="24"/>
                <w:lang w:eastAsia="en-IN"/>
              </w:rPr>
              <w:t xml:space="preserve"> </w:t>
            </w:r>
          </w:p>
        </w:tc>
        <w:tc>
          <w:tcPr>
            <w:tcW w:w="0" w:type="auto"/>
            <w:vAlign w:val="center"/>
            <w:hideMark/>
          </w:tcPr>
          <w:p w14:paraId="40B40106" w14:textId="6CFEF995" w:rsidR="00EF5838" w:rsidRPr="00EF5838" w:rsidRDefault="00EF5838" w:rsidP="00EF5838">
            <w:pPr>
              <w:spacing w:after="0" w:line="240" w:lineRule="auto"/>
              <w:rPr>
                <w:rFonts w:ascii="Times New Roman" w:eastAsia="Times New Roman" w:hAnsi="Times New Roman" w:cs="Times New Roman"/>
                <w:sz w:val="24"/>
                <w:szCs w:val="24"/>
                <w:lang w:eastAsia="en-IN"/>
              </w:rPr>
            </w:pPr>
            <w:r w:rsidRPr="00EF5838">
              <w:rPr>
                <w:rFonts w:ascii="Times New Roman" w:eastAsia="Times New Roman" w:hAnsi="Times New Roman" w:cs="Times New Roman"/>
                <w:color w:val="0000FF"/>
                <w:sz w:val="24"/>
                <w:szCs w:val="24"/>
                <w:u w:val="single"/>
                <w:lang w:eastAsia="en-IN"/>
              </w:rPr>
              <w:t>flexsurv::rgengamma</w:t>
            </w:r>
            <w:r w:rsidRPr="00EF5838">
              <w:rPr>
                <w:rFonts w:ascii="Times New Roman" w:eastAsia="Times New Roman" w:hAnsi="Times New Roman" w:cs="Times New Roman"/>
                <w:sz w:val="24"/>
                <w:szCs w:val="24"/>
                <w:lang w:eastAsia="en-IN"/>
              </w:rPr>
              <w:t xml:space="preserve"> </w:t>
            </w:r>
          </w:p>
        </w:tc>
      </w:tr>
    </w:tbl>
    <w:p w14:paraId="68C98F9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parameterizations of these distributions in </w:t>
      </w: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are shown in the next table. The parameter of primary interest (in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is colored in red—it is known as the location parameter and typically governs the mean or location for each distribution. The other parameters are ancillary parameters that determine the shape, variance, or higher moments of the distribution. These parameters impact the hazard function, which can take a variety of shapes depending on the distribution:</w:t>
      </w:r>
    </w:p>
    <w:p w14:paraId="17959AA0"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exponential distribution only supports a constant hazard;</w:t>
      </w:r>
    </w:p>
    <w:p w14:paraId="6159A3A5"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Weibull, Gompertz, and gamma distributions support monotonically increasing and decreasing hazards;</w:t>
      </w:r>
    </w:p>
    <w:p w14:paraId="46E7E1A2"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log-logistic and lognormal distributions support arc-shaped and monotonically decreasing hazards; and</w:t>
      </w:r>
    </w:p>
    <w:p w14:paraId="48C7E4E2"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generalized gamma distribution supports an arc-shaped, bathtub-shaped, monotonically increasing, and monotonically decreasing hazards.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031"/>
        <w:gridCol w:w="1253"/>
        <w:gridCol w:w="2031"/>
        <w:gridCol w:w="1574"/>
        <w:gridCol w:w="1150"/>
      </w:tblGrid>
      <w:tr w:rsidR="00EF5838" w:rsidRPr="00EF5838" w14:paraId="571FD48B" w14:textId="77777777" w:rsidTr="00EF5838">
        <w:trPr>
          <w:tblHeader/>
          <w:tblCellSpacing w:w="15" w:type="dxa"/>
        </w:trPr>
        <w:tc>
          <w:tcPr>
            <w:tcW w:w="0" w:type="auto"/>
            <w:vAlign w:val="center"/>
            <w:hideMark/>
          </w:tcPr>
          <w:p w14:paraId="37A4948F" w14:textId="77777777" w:rsidR="00EF5838" w:rsidRPr="00EF5838" w:rsidRDefault="00EF5838" w:rsidP="00EF58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
        </w:tc>
        <w:tc>
          <w:tcPr>
            <w:tcW w:w="0" w:type="auto"/>
            <w:vAlign w:val="center"/>
            <w:hideMark/>
          </w:tcPr>
          <w:p w14:paraId="3FE3FF5A"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PDF </w:t>
            </w:r>
          </w:p>
        </w:tc>
        <w:tc>
          <w:tcPr>
            <w:tcW w:w="0" w:type="auto"/>
            <w:vAlign w:val="center"/>
            <w:hideMark/>
          </w:tcPr>
          <w:p w14:paraId="28C7EB86"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CDF </w:t>
            </w:r>
          </w:p>
        </w:tc>
        <w:tc>
          <w:tcPr>
            <w:tcW w:w="0" w:type="auto"/>
            <w:vAlign w:val="center"/>
            <w:hideMark/>
          </w:tcPr>
          <w:p w14:paraId="18A346A1"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Hazard </w:t>
            </w:r>
          </w:p>
        </w:tc>
        <w:tc>
          <w:tcPr>
            <w:tcW w:w="0" w:type="auto"/>
            <w:vAlign w:val="center"/>
            <w:hideMark/>
          </w:tcPr>
          <w:p w14:paraId="4AD944E3"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Parameters </w:t>
            </w:r>
          </w:p>
        </w:tc>
        <w:tc>
          <w:tcPr>
            <w:tcW w:w="0" w:type="auto"/>
            <w:vAlign w:val="center"/>
            <w:hideMark/>
          </w:tcPr>
          <w:p w14:paraId="0C348D5D" w14:textId="77777777" w:rsidR="00EF5838" w:rsidRPr="00EF5838" w:rsidRDefault="00EF5838" w:rsidP="00EF5838">
            <w:pPr>
              <w:spacing w:after="0" w:line="240" w:lineRule="auto"/>
              <w:rPr>
                <w:rFonts w:ascii="Times New Roman" w:eastAsia="Times New Roman" w:hAnsi="Times New Roman" w:cs="Times New Roman"/>
                <w:b/>
                <w:bCs/>
                <w:sz w:val="20"/>
                <w:szCs w:val="20"/>
                <w:lang w:eastAsia="en-IN"/>
              </w:rPr>
            </w:pPr>
            <w:r w:rsidRPr="00EF5838">
              <w:rPr>
                <w:rFonts w:ascii="Times New Roman" w:eastAsia="Times New Roman" w:hAnsi="Times New Roman" w:cs="Times New Roman"/>
                <w:b/>
                <w:bCs/>
                <w:sz w:val="20"/>
                <w:szCs w:val="20"/>
                <w:lang w:eastAsia="en-IN"/>
              </w:rPr>
              <w:t xml:space="preserve">Hazard shape </w:t>
            </w:r>
          </w:p>
        </w:tc>
      </w:tr>
      <w:tr w:rsidR="00EF5838" w:rsidRPr="00EF5838" w14:paraId="0AF90790" w14:textId="77777777" w:rsidTr="00EF5838">
        <w:trPr>
          <w:tblCellSpacing w:w="15" w:type="dxa"/>
        </w:trPr>
        <w:tc>
          <w:tcPr>
            <w:tcW w:w="0" w:type="auto"/>
            <w:vAlign w:val="center"/>
            <w:hideMark/>
          </w:tcPr>
          <w:p w14:paraId="7B29B55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Exponential </w:t>
            </w:r>
          </w:p>
        </w:tc>
        <w:tc>
          <w:tcPr>
            <w:tcW w:w="0" w:type="auto"/>
            <w:vAlign w:val="center"/>
            <w:hideMark/>
          </w:tcPr>
          <w:p w14:paraId="0A1E59BF"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$\lambda e^{-\lambda t}$ </w:t>
            </w:r>
          </w:p>
        </w:tc>
        <w:tc>
          <w:tcPr>
            <w:tcW w:w="0" w:type="auto"/>
            <w:vAlign w:val="center"/>
            <w:hideMark/>
          </w:tcPr>
          <w:p w14:paraId="49659C2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$1 – e^{-\lambda t}$ </w:t>
            </w:r>
          </w:p>
        </w:tc>
        <w:tc>
          <w:tcPr>
            <w:tcW w:w="0" w:type="auto"/>
            <w:vAlign w:val="center"/>
            <w:hideMark/>
          </w:tcPr>
          <w:p w14:paraId="5A252F2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$\lambda$ </w:t>
            </w:r>
          </w:p>
        </w:tc>
        <w:tc>
          <w:tcPr>
            <w:tcW w:w="14400" w:type="dxa"/>
            <w:vAlign w:val="center"/>
            <w:hideMark/>
          </w:tcPr>
          <w:p w14:paraId="5F8DFB7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$\color{red}{\text{rate}} = \lambda \gt 0$ </w:t>
            </w:r>
          </w:p>
        </w:tc>
        <w:tc>
          <w:tcPr>
            <w:tcW w:w="0" w:type="auto"/>
            <w:vAlign w:val="center"/>
            <w:hideMark/>
          </w:tcPr>
          <w:p w14:paraId="64F44B4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w:t>
            </w:r>
          </w:p>
        </w:tc>
      </w:tr>
      <w:tr w:rsidR="00EF5838" w:rsidRPr="00EF5838" w14:paraId="7AC91FCC" w14:textId="77777777" w:rsidTr="00EF5838">
        <w:trPr>
          <w:tblCellSpacing w:w="15" w:type="dxa"/>
        </w:trPr>
        <w:tc>
          <w:tcPr>
            <w:tcW w:w="0" w:type="auto"/>
            <w:vAlign w:val="center"/>
            <w:hideMark/>
          </w:tcPr>
          <w:p w14:paraId="0EA3E33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Weibull (AFT) </w:t>
            </w:r>
          </w:p>
        </w:tc>
        <w:tc>
          <w:tcPr>
            <w:tcW w:w="0" w:type="auto"/>
            <w:vAlign w:val="center"/>
            <w:hideMark/>
          </w:tcPr>
          <w:p w14:paraId="404FE4B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$\frac{a}{b}\left(\frac{t}{b}\right)^{a-1}e^{-(t/b)^a}$ </w:t>
            </w:r>
          </w:p>
        </w:tc>
        <w:tc>
          <w:tcPr>
            <w:tcW w:w="0" w:type="auto"/>
            <w:vAlign w:val="center"/>
            <w:hideMark/>
          </w:tcPr>
          <w:p w14:paraId="5406C58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$1 – e^{-(t/b)^a}$ </w:t>
            </w:r>
          </w:p>
        </w:tc>
        <w:tc>
          <w:tcPr>
            <w:tcW w:w="0" w:type="auto"/>
            <w:vAlign w:val="center"/>
            <w:hideMark/>
          </w:tcPr>
          <w:p w14:paraId="22D4C5F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$\frac{a}{b}\left(\frac{t}{b}\right)^{a-1}$ </w:t>
            </w:r>
          </w:p>
        </w:tc>
        <w:tc>
          <w:tcPr>
            <w:tcW w:w="14400" w:type="dxa"/>
            <w:vAlign w:val="center"/>
            <w:hideMark/>
          </w:tcPr>
          <w:p w14:paraId="57BAE96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$\text{shape} = a \gt 0 \\ \color{red}{\text{scale}} = b \gt 0$ </w:t>
            </w:r>
          </w:p>
        </w:tc>
        <w:tc>
          <w:tcPr>
            <w:tcW w:w="0" w:type="auto"/>
            <w:vAlign w:val="center"/>
            <w:hideMark/>
          </w:tcPr>
          <w:p w14:paraId="3899AE8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64588C78" w14:textId="77777777" w:rsidTr="00EF5838">
        <w:trPr>
          <w:tblCellSpacing w:w="15" w:type="dxa"/>
        </w:trPr>
        <w:tc>
          <w:tcPr>
            <w:tcW w:w="0" w:type="auto"/>
            <w:vAlign w:val="center"/>
            <w:hideMark/>
          </w:tcPr>
          <w:p w14:paraId="10D5BC2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Weibull (PH)</w:t>
            </w:r>
            <w:r w:rsidRPr="00EF5838">
              <w:rPr>
                <w:rFonts w:ascii="Times New Roman" w:eastAsia="Times New Roman" w:hAnsi="Times New Roman" w:cs="Times New Roman"/>
                <w:sz w:val="20"/>
                <w:szCs w:val="20"/>
                <w:vertAlign w:val="superscript"/>
                <w:lang w:eastAsia="en-IN"/>
              </w:rPr>
              <w:t>a</w:t>
            </w:r>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729F5B4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 m t^{a-1} e^{-m t^a}$ </w:t>
            </w:r>
          </w:p>
        </w:tc>
        <w:tc>
          <w:tcPr>
            <w:tcW w:w="0" w:type="auto"/>
            <w:vAlign w:val="center"/>
            <w:hideMark/>
          </w:tcPr>
          <w:p w14:paraId="667CFD4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$1 – e^{-mt^a}$ </w:t>
            </w:r>
          </w:p>
        </w:tc>
        <w:tc>
          <w:tcPr>
            <w:tcW w:w="0" w:type="auto"/>
            <w:vAlign w:val="center"/>
            <w:hideMark/>
          </w:tcPr>
          <w:p w14:paraId="640E0C1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$amt^{a-1}$ </w:t>
            </w:r>
          </w:p>
        </w:tc>
        <w:tc>
          <w:tcPr>
            <w:tcW w:w="14400" w:type="dxa"/>
            <w:vAlign w:val="center"/>
            <w:hideMark/>
          </w:tcPr>
          <w:p w14:paraId="09F208F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$\text{shape} = a \gt 0 \\ \color{red}{\text{scale}} = m \gt 0$ </w:t>
            </w:r>
          </w:p>
        </w:tc>
        <w:tc>
          <w:tcPr>
            <w:tcW w:w="0" w:type="auto"/>
            <w:vAlign w:val="center"/>
            <w:hideMark/>
          </w:tcPr>
          <w:p w14:paraId="254F0AA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779DD6D7" w14:textId="77777777" w:rsidTr="00EF5838">
        <w:trPr>
          <w:tblCellSpacing w:w="15" w:type="dxa"/>
        </w:trPr>
        <w:tc>
          <w:tcPr>
            <w:tcW w:w="0" w:type="auto"/>
            <w:vAlign w:val="center"/>
            <w:hideMark/>
          </w:tcPr>
          <w:p w14:paraId="3411D5B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Gompertz </w:t>
            </w:r>
          </w:p>
        </w:tc>
        <w:tc>
          <w:tcPr>
            <w:tcW w:w="0" w:type="auto"/>
            <w:vAlign w:val="center"/>
            <w:hideMark/>
          </w:tcPr>
          <w:p w14:paraId="2B40026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$b e^{at} \exp\left[-\frac{b}{a}(e^{at}-1)\right]$ </w:t>
            </w:r>
          </w:p>
        </w:tc>
        <w:tc>
          <w:tcPr>
            <w:tcW w:w="0" w:type="auto"/>
            <w:vAlign w:val="center"/>
            <w:hideMark/>
          </w:tcPr>
          <w:p w14:paraId="51A9031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$1 – \exp\left[-\frac{b}{a}(e^{at}-1)\right]$ </w:t>
            </w:r>
          </w:p>
        </w:tc>
        <w:tc>
          <w:tcPr>
            <w:tcW w:w="0" w:type="auto"/>
            <w:vAlign w:val="center"/>
            <w:hideMark/>
          </w:tcPr>
          <w:p w14:paraId="5BE90CE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$b e^{at}$ </w:t>
            </w:r>
          </w:p>
        </w:tc>
        <w:tc>
          <w:tcPr>
            <w:tcW w:w="14400" w:type="dxa"/>
            <w:vAlign w:val="center"/>
            <w:hideMark/>
          </w:tcPr>
          <w:p w14:paraId="16A101E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$\text{shape} = a \in (-\infty, \infty) \\ \color{red}{\text{rate}} = b \gt 0$ </w:t>
            </w:r>
          </w:p>
        </w:tc>
        <w:tc>
          <w:tcPr>
            <w:tcW w:w="0" w:type="auto"/>
            <w:vAlign w:val="center"/>
            <w:hideMark/>
          </w:tcPr>
          <w:p w14:paraId="39D33B7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24BBC6A0" w14:textId="77777777" w:rsidTr="00EF5838">
        <w:trPr>
          <w:tblCellSpacing w:w="15" w:type="dxa"/>
        </w:trPr>
        <w:tc>
          <w:tcPr>
            <w:tcW w:w="0" w:type="auto"/>
            <w:vAlign w:val="center"/>
            <w:hideMark/>
          </w:tcPr>
          <w:p w14:paraId="7D47EB4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Gamma</w:t>
            </w:r>
            <w:r w:rsidRPr="00EF5838">
              <w:rPr>
                <w:rFonts w:ascii="Times New Roman" w:eastAsia="Times New Roman" w:hAnsi="Times New Roman" w:cs="Times New Roman"/>
                <w:sz w:val="20"/>
                <w:szCs w:val="20"/>
                <w:vertAlign w:val="superscript"/>
                <w:lang w:eastAsia="en-IN"/>
              </w:rPr>
              <w:t>b</w:t>
            </w:r>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4B1A796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$\frac{b^a}{\Gamma(a)}t^{a -1}e^{-bt}$ </w:t>
            </w:r>
          </w:p>
        </w:tc>
        <w:tc>
          <w:tcPr>
            <w:tcW w:w="0" w:type="auto"/>
            <w:vAlign w:val="center"/>
            <w:hideMark/>
          </w:tcPr>
          <w:p w14:paraId="51AF760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$\frac{\gamma(a, bt)}{\Gamma(a)}$ </w:t>
            </w:r>
          </w:p>
        </w:tc>
        <w:tc>
          <w:tcPr>
            <w:tcW w:w="0" w:type="auto"/>
            <w:vAlign w:val="center"/>
            <w:hideMark/>
          </w:tcPr>
          <w:p w14:paraId="5350953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$f(t)/S(t)$ </w:t>
            </w:r>
          </w:p>
        </w:tc>
        <w:tc>
          <w:tcPr>
            <w:tcW w:w="14400" w:type="dxa"/>
            <w:vAlign w:val="center"/>
            <w:hideMark/>
          </w:tcPr>
          <w:p w14:paraId="5578ECD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$\text{shape} = a \gt 0 \\ \color{red}{\text{rate}} = b \gt 0$ </w:t>
            </w:r>
          </w:p>
        </w:tc>
        <w:tc>
          <w:tcPr>
            <w:tcW w:w="0" w:type="auto"/>
            <w:vAlign w:val="center"/>
            <w:hideMark/>
          </w:tcPr>
          <w:p w14:paraId="1B22E51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Constant, monotonically increasing/decreasing </w:t>
            </w:r>
          </w:p>
        </w:tc>
      </w:tr>
      <w:tr w:rsidR="00EF5838" w:rsidRPr="00EF5838" w14:paraId="2BF5D927" w14:textId="77777777" w:rsidTr="00EF5838">
        <w:trPr>
          <w:tblCellSpacing w:w="15" w:type="dxa"/>
        </w:trPr>
        <w:tc>
          <w:tcPr>
            <w:tcW w:w="0" w:type="auto"/>
            <w:vAlign w:val="center"/>
            <w:hideMark/>
          </w:tcPr>
          <w:p w14:paraId="52BFBA19"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Lognormal </w:t>
            </w:r>
          </w:p>
        </w:tc>
        <w:tc>
          <w:tcPr>
            <w:tcW w:w="0" w:type="auto"/>
            <w:vAlign w:val="center"/>
            <w:hideMark/>
          </w:tcPr>
          <w:p w14:paraId="20531FF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$\frac{1}{t\sigma\sqrt{2\pi}}e^{-\frac{(\ln t – \mu)^2}{2\sigma^2}}$ </w:t>
            </w:r>
          </w:p>
        </w:tc>
        <w:tc>
          <w:tcPr>
            <w:tcW w:w="0" w:type="auto"/>
            <w:vAlign w:val="center"/>
            <w:hideMark/>
          </w:tcPr>
          <w:p w14:paraId="2FFEC44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$\Phi\left(\frac{\ln t – \mu}{\sigma}\right)$ </w:t>
            </w:r>
          </w:p>
        </w:tc>
        <w:tc>
          <w:tcPr>
            <w:tcW w:w="0" w:type="auto"/>
            <w:vAlign w:val="center"/>
            <w:hideMark/>
          </w:tcPr>
          <w:p w14:paraId="5BBD182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$f(t)/S(t)$ </w:t>
            </w:r>
          </w:p>
        </w:tc>
        <w:tc>
          <w:tcPr>
            <w:tcW w:w="14400" w:type="dxa"/>
            <w:vAlign w:val="center"/>
            <w:hideMark/>
          </w:tcPr>
          <w:p w14:paraId="0053B49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$\color{red}{\text{meanlog}} = \mu \in (-\infty, \infty) \\ \text{sdlog} = \sigma \gt 0$ </w:t>
            </w:r>
          </w:p>
        </w:tc>
        <w:tc>
          <w:tcPr>
            <w:tcW w:w="0" w:type="auto"/>
            <w:vAlign w:val="center"/>
            <w:hideMark/>
          </w:tcPr>
          <w:p w14:paraId="26447980"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Arc-shaped, monotonically decreasing </w:t>
            </w:r>
          </w:p>
        </w:tc>
      </w:tr>
      <w:tr w:rsidR="00EF5838" w:rsidRPr="00EF5838" w14:paraId="29CB8A36" w14:textId="77777777" w:rsidTr="00EF5838">
        <w:trPr>
          <w:tblCellSpacing w:w="15" w:type="dxa"/>
        </w:trPr>
        <w:tc>
          <w:tcPr>
            <w:tcW w:w="0" w:type="auto"/>
            <w:vAlign w:val="center"/>
            <w:hideMark/>
          </w:tcPr>
          <w:p w14:paraId="1198712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Log-logistic </w:t>
            </w:r>
          </w:p>
        </w:tc>
        <w:tc>
          <w:tcPr>
            <w:tcW w:w="0" w:type="auto"/>
            <w:vAlign w:val="center"/>
            <w:hideMark/>
          </w:tcPr>
          <w:p w14:paraId="2038CF2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$\frac{(a/b)(t/b)^{a-1}}{\left(1 + (t/b)^a\right)^2}$ </w:t>
            </w:r>
          </w:p>
        </w:tc>
        <w:tc>
          <w:tcPr>
            <w:tcW w:w="0" w:type="auto"/>
            <w:vAlign w:val="center"/>
            <w:hideMark/>
          </w:tcPr>
          <w:p w14:paraId="3E703F5F"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$\frac{1}{(1+(t/b)^a)}$ </w:t>
            </w:r>
          </w:p>
        </w:tc>
        <w:tc>
          <w:tcPr>
            <w:tcW w:w="0" w:type="auto"/>
            <w:vAlign w:val="center"/>
            <w:hideMark/>
          </w:tcPr>
          <w:p w14:paraId="733BF36E"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$1-\frac{(a/b)(t/b)^{a-1}}{\left(1 + (t/b)^a\right)}$ </w:t>
            </w:r>
          </w:p>
        </w:tc>
        <w:tc>
          <w:tcPr>
            <w:tcW w:w="14400" w:type="dxa"/>
            <w:vAlign w:val="center"/>
            <w:hideMark/>
          </w:tcPr>
          <w:p w14:paraId="5DF6AD9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$\text{shape} = a \gt 0 \\ \color{red}{\text{scale}} = b \gt 0$ </w:t>
            </w:r>
          </w:p>
        </w:tc>
        <w:tc>
          <w:tcPr>
            <w:tcW w:w="0" w:type="auto"/>
            <w:vAlign w:val="center"/>
            <w:hideMark/>
          </w:tcPr>
          <w:p w14:paraId="5B6E1940"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Arc-shaped, monotonically decreasing </w:t>
            </w:r>
          </w:p>
        </w:tc>
      </w:tr>
      <w:tr w:rsidR="00EF5838" w:rsidRPr="00EF5838" w14:paraId="6246B922" w14:textId="77777777" w:rsidTr="00EF5838">
        <w:trPr>
          <w:tblCellSpacing w:w="15" w:type="dxa"/>
        </w:trPr>
        <w:tc>
          <w:tcPr>
            <w:tcW w:w="0" w:type="auto"/>
            <w:vAlign w:val="center"/>
            <w:hideMark/>
          </w:tcPr>
          <w:p w14:paraId="00820AEB"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Generalized gamma</w:t>
            </w:r>
            <w:r w:rsidRPr="00EF5838">
              <w:rPr>
                <w:rFonts w:ascii="Times New Roman" w:eastAsia="Times New Roman" w:hAnsi="Times New Roman" w:cs="Times New Roman"/>
                <w:sz w:val="20"/>
                <w:szCs w:val="20"/>
                <w:vertAlign w:val="superscript"/>
                <w:lang w:eastAsia="en-IN"/>
              </w:rPr>
              <w:t>c</w:t>
            </w:r>
            <w:r w:rsidRPr="00EF5838">
              <w:rPr>
                <w:rFonts w:ascii="Times New Roman" w:eastAsia="Times New Roman" w:hAnsi="Times New Roman" w:cs="Times New Roman"/>
                <w:sz w:val="20"/>
                <w:szCs w:val="20"/>
                <w:lang w:eastAsia="en-IN"/>
              </w:rPr>
              <w:t xml:space="preserve"> </w:t>
            </w:r>
          </w:p>
        </w:tc>
        <w:tc>
          <w:tcPr>
            <w:tcW w:w="0" w:type="auto"/>
            <w:vAlign w:val="center"/>
            <w:hideMark/>
          </w:tcPr>
          <w:p w14:paraId="17E98FEC"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$\frac{|Q|(Q^{-2})^{Q^{-2}}}{\sigma t \Gamma(Q^{-2})} </w:t>
            </w:r>
            <w:r w:rsidRPr="00EF5838">
              <w:rPr>
                <w:rFonts w:ascii="Times New Roman" w:eastAsia="Times New Roman" w:hAnsi="Times New Roman" w:cs="Times New Roman"/>
                <w:sz w:val="20"/>
                <w:szCs w:val="20"/>
                <w:lang w:eastAsia="en-IN"/>
              </w:rPr>
              <w:lastRenderedPageBreak/>
              <w:t xml:space="preserve">\exp\left[Q^{-2}\left(Qw-e^{Qw}\right)\right]$ </w:t>
            </w:r>
          </w:p>
        </w:tc>
        <w:tc>
          <w:tcPr>
            <w:tcW w:w="0" w:type="auto"/>
            <w:vAlign w:val="center"/>
            <w:hideMark/>
          </w:tcPr>
          <w:p w14:paraId="76430D3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$\begin{cases}</w:t>
            </w:r>
            <w:r w:rsidRPr="00EF5838">
              <w:rPr>
                <w:rFonts w:ascii="Times New Roman" w:eastAsia="Times New Roman" w:hAnsi="Times New Roman" w:cs="Times New Roman"/>
                <w:sz w:val="20"/>
                <w:szCs w:val="20"/>
                <w:lang w:eastAsia="en-IN"/>
              </w:rPr>
              <w:br/>
              <w:t>\frac{\gamma(</w:t>
            </w:r>
            <w:r w:rsidRPr="00EF5838">
              <w:rPr>
                <w:rFonts w:ascii="Times New Roman" w:eastAsia="Times New Roman" w:hAnsi="Times New Roman" w:cs="Times New Roman"/>
                <w:sz w:val="20"/>
                <w:szCs w:val="20"/>
                <w:lang w:eastAsia="en-IN"/>
              </w:rPr>
              <w:lastRenderedPageBreak/>
              <w:t>Q^{-2}, u)}{\Gamma(Q^{-2})} \text{ if } Q \neq 0 \\</w:t>
            </w:r>
            <w:r w:rsidRPr="00EF5838">
              <w:rPr>
                <w:rFonts w:ascii="Times New Roman" w:eastAsia="Times New Roman" w:hAnsi="Times New Roman" w:cs="Times New Roman"/>
                <w:sz w:val="20"/>
                <w:szCs w:val="20"/>
                <w:lang w:eastAsia="en-IN"/>
              </w:rPr>
              <w:br/>
              <w:t>\Phi(w) \text{ if } Q = 0</w:t>
            </w:r>
            <w:r w:rsidRPr="00EF5838">
              <w:rPr>
                <w:rFonts w:ascii="Times New Roman" w:eastAsia="Times New Roman" w:hAnsi="Times New Roman" w:cs="Times New Roman"/>
                <w:sz w:val="20"/>
                <w:szCs w:val="20"/>
                <w:lang w:eastAsia="en-IN"/>
              </w:rPr>
              <w:br/>
              <w:t xml:space="preserve">\end{cases}$ </w:t>
            </w:r>
          </w:p>
        </w:tc>
        <w:tc>
          <w:tcPr>
            <w:tcW w:w="0" w:type="auto"/>
            <w:vAlign w:val="center"/>
            <w:hideMark/>
          </w:tcPr>
          <w:p w14:paraId="055E594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$f(t)/S(t)$ </w:t>
            </w:r>
          </w:p>
        </w:tc>
        <w:tc>
          <w:tcPr>
            <w:tcW w:w="14400" w:type="dxa"/>
            <w:vAlign w:val="center"/>
            <w:hideMark/>
          </w:tcPr>
          <w:p w14:paraId="0F93985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$\color{red}{\text{mu}} = \mu \in (-\infty, \infty) \\ </w:t>
            </w:r>
            <w:r w:rsidRPr="00EF5838">
              <w:rPr>
                <w:rFonts w:ascii="Times New Roman" w:eastAsia="Times New Roman" w:hAnsi="Times New Roman" w:cs="Times New Roman"/>
                <w:sz w:val="20"/>
                <w:szCs w:val="20"/>
                <w:lang w:eastAsia="en-IN"/>
              </w:rPr>
              <w:lastRenderedPageBreak/>
              <w:t xml:space="preserve">\text{sigma} = \sigma \gt 0 \\ \text{Q} = Q \in (-\infty, \infty)$ </w:t>
            </w:r>
          </w:p>
        </w:tc>
        <w:tc>
          <w:tcPr>
            <w:tcW w:w="0" w:type="auto"/>
            <w:vAlign w:val="center"/>
            <w:hideMark/>
          </w:tcPr>
          <w:p w14:paraId="2C48072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Arc-shaped, bathtub-shaped, </w:t>
            </w:r>
            <w:r w:rsidRPr="00EF5838">
              <w:rPr>
                <w:rFonts w:ascii="Times New Roman" w:eastAsia="Times New Roman" w:hAnsi="Times New Roman" w:cs="Times New Roman"/>
                <w:sz w:val="20"/>
                <w:szCs w:val="20"/>
                <w:lang w:eastAsia="en-IN"/>
              </w:rPr>
              <w:lastRenderedPageBreak/>
              <w:t xml:space="preserve">monotonically increasing/decreasing </w:t>
            </w:r>
          </w:p>
        </w:tc>
      </w:tr>
      <w:tr w:rsidR="00EF5838" w:rsidRPr="00EF5838" w14:paraId="6B47F057"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E392B03"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vertAlign w:val="superscript"/>
                <w:lang w:eastAsia="en-IN"/>
              </w:rPr>
              <w:lastRenderedPageBreak/>
              <w:t>a</w:t>
            </w:r>
            <w:r w:rsidRPr="00EF5838">
              <w:rPr>
                <w:rFonts w:ascii="Times New Roman" w:eastAsia="Times New Roman" w:hAnsi="Times New Roman" w:cs="Times New Roman"/>
                <w:sz w:val="20"/>
                <w:szCs w:val="20"/>
                <w:lang w:eastAsia="en-IN"/>
              </w:rPr>
              <w:t xml:space="preserve"> The proportional hazard (PH) model is a reparameterization of the accelerated failure time (AFT) model with $m = b^{-a}$.</w:t>
            </w:r>
          </w:p>
        </w:tc>
        <w:tc>
          <w:tcPr>
            <w:tcW w:w="0" w:type="auto"/>
            <w:vAlign w:val="center"/>
            <w:hideMark/>
          </w:tcPr>
          <w:p w14:paraId="0233EDE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3997C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8041E7"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6D0386"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2D05E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r w:rsidR="00EF5838" w:rsidRPr="00EF5838" w14:paraId="7CDD77DE"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1DC24C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vertAlign w:val="superscript"/>
                <w:lang w:eastAsia="en-IN"/>
              </w:rPr>
              <w:t>b</w:t>
            </w:r>
            <w:r w:rsidRPr="00EF5838">
              <w:rPr>
                <w:rFonts w:ascii="Times New Roman" w:eastAsia="Times New Roman" w:hAnsi="Times New Roman" w:cs="Times New Roman"/>
                <w:sz w:val="20"/>
                <w:szCs w:val="20"/>
                <w:lang w:eastAsia="en-IN"/>
              </w:rPr>
              <w:t xml:space="preserve"> $\Gamma(z) = \int_{0}^{\infty} x^{z-1}e^{-x} dx$ is the gamma function and $\gamma(s,x) = \int_{0}^{x} t^{s-1}e^{-t}dt$ is the lower incomplete gamma function.</w:t>
            </w:r>
          </w:p>
        </w:tc>
        <w:tc>
          <w:tcPr>
            <w:tcW w:w="0" w:type="auto"/>
            <w:vAlign w:val="center"/>
            <w:hideMark/>
          </w:tcPr>
          <w:p w14:paraId="357AD05D"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9847DE"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09DF7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CE0369"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65BBAA"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r w:rsidR="00EF5838" w:rsidRPr="00EF5838" w14:paraId="643CE27F" w14:textId="77777777" w:rsidTr="00EF5838">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74C7D74"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vertAlign w:val="superscript"/>
                <w:lang w:eastAsia="en-IN"/>
              </w:rPr>
              <w:t>c</w:t>
            </w:r>
            <w:r w:rsidRPr="00EF5838">
              <w:rPr>
                <w:rFonts w:ascii="Times New Roman" w:eastAsia="Times New Roman" w:hAnsi="Times New Roman" w:cs="Times New Roman"/>
                <w:sz w:val="20"/>
                <w:szCs w:val="20"/>
                <w:lang w:eastAsia="en-IN"/>
              </w:rPr>
              <w:t xml:space="preserve"> $w = (log(t) – \mu)/\sigma; u = Q^{-2}e^{Qw}$.</w:t>
            </w:r>
          </w:p>
        </w:tc>
        <w:tc>
          <w:tcPr>
            <w:tcW w:w="0" w:type="auto"/>
            <w:vAlign w:val="center"/>
            <w:hideMark/>
          </w:tcPr>
          <w:p w14:paraId="2C75A415"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248468"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F86E4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AACA12"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16E431" w14:textId="77777777" w:rsidR="00EF5838" w:rsidRPr="00EF5838" w:rsidRDefault="00EF5838" w:rsidP="00EF5838">
            <w:pPr>
              <w:spacing w:after="0" w:line="240" w:lineRule="auto"/>
              <w:rPr>
                <w:rFonts w:ascii="Times New Roman" w:eastAsia="Times New Roman" w:hAnsi="Times New Roman" w:cs="Times New Roman"/>
                <w:sz w:val="20"/>
                <w:szCs w:val="20"/>
                <w:lang w:eastAsia="en-IN"/>
              </w:rPr>
            </w:pPr>
          </w:p>
        </w:tc>
      </w:tr>
    </w:tbl>
    <w:p w14:paraId="0ECA12E8"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Shapes of hazard functions</w:t>
      </w:r>
    </w:p>
    <w:p w14:paraId="79440FEA" w14:textId="1B467CAD"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will now examine the shapes of the hazards in a bit more detail and show how both the location and shape vary with the parameters of each distribution. </w:t>
      </w:r>
    </w:p>
    <w:p w14:paraId="432388B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 xml:space="preserve">To do so we will load some needed packages: we will use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to compute the hazards, </w:t>
      </w:r>
      <w:r w:rsidRPr="00EF5838">
        <w:rPr>
          <w:rFonts w:ascii="Courier New" w:eastAsia="Times New Roman" w:hAnsi="Courier New" w:cs="Courier New"/>
          <w:sz w:val="20"/>
          <w:szCs w:val="20"/>
          <w:lang w:eastAsia="en-IN"/>
        </w:rPr>
        <w:t>data.table</w:t>
      </w:r>
      <w:r w:rsidRPr="00EF5838">
        <w:rPr>
          <w:rFonts w:ascii="Times New Roman" w:eastAsia="Times New Roman" w:hAnsi="Times New Roman" w:cs="Times New Roman"/>
          <w:sz w:val="20"/>
          <w:szCs w:val="20"/>
          <w:lang w:eastAsia="en-IN"/>
        </w:rPr>
        <w:t xml:space="preserve"> as a fast alternative to </w:t>
      </w:r>
      <w:r w:rsidRPr="00EF5838">
        <w:rPr>
          <w:rFonts w:ascii="Courier New" w:eastAsia="Times New Roman" w:hAnsi="Courier New" w:cs="Courier New"/>
          <w:sz w:val="20"/>
          <w:szCs w:val="20"/>
          <w:lang w:eastAsia="en-IN"/>
        </w:rPr>
        <w:t>data.frame</w:t>
      </w:r>
      <w:r w:rsidRPr="00EF5838">
        <w:rPr>
          <w:rFonts w:ascii="Times New Roman" w:eastAsia="Times New Roman" w:hAnsi="Times New Roman" w:cs="Times New Roman"/>
          <w:sz w:val="20"/>
          <w:szCs w:val="20"/>
          <w:lang w:eastAsia="en-IN"/>
        </w:rPr>
        <w:t xml:space="preserve">, and </w:t>
      </w:r>
      <w:r w:rsidRPr="00EF5838">
        <w:rPr>
          <w:rFonts w:ascii="Courier New" w:eastAsia="Times New Roman" w:hAnsi="Courier New" w:cs="Courier New"/>
          <w:sz w:val="20"/>
          <w:szCs w:val="20"/>
          <w:lang w:eastAsia="en-IN"/>
        </w:rPr>
        <w:t>ggplot2</w:t>
      </w:r>
      <w:r w:rsidRPr="00EF5838">
        <w:rPr>
          <w:rFonts w:ascii="Times New Roman" w:eastAsia="Times New Roman" w:hAnsi="Times New Roman" w:cs="Times New Roman"/>
          <w:sz w:val="20"/>
          <w:szCs w:val="20"/>
          <w:lang w:eastAsia="en-IN"/>
        </w:rPr>
        <w:t xml:space="preserve"> for plotting.</w:t>
      </w:r>
    </w:p>
    <w:p w14:paraId="4540559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library("flexsurv")</w:t>
      </w:r>
    </w:p>
    <w:p w14:paraId="5020EA9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library("data.table")</w:t>
      </w:r>
    </w:p>
    <w:p w14:paraId="19D436B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library("ggplot2")</w:t>
      </w:r>
    </w:p>
    <w:p w14:paraId="7D43C31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ggplot2::theme_set(theme_minimal())</w:t>
      </w:r>
    </w:p>
    <w:p w14:paraId="2BA188C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can create a general function for computing hazards for any general hazard function given combinations of parameter values at different time points. The key to the function is </w:t>
      </w:r>
      <w:r w:rsidRPr="00EF5838">
        <w:rPr>
          <w:rFonts w:ascii="Courier New" w:eastAsia="Times New Roman" w:hAnsi="Courier New" w:cs="Courier New"/>
          <w:sz w:val="20"/>
          <w:szCs w:val="20"/>
          <w:lang w:eastAsia="en-IN"/>
        </w:rPr>
        <w:t>mapply</w:t>
      </w:r>
      <w:r w:rsidRPr="00EF5838">
        <w:rPr>
          <w:rFonts w:ascii="Times New Roman" w:eastAsia="Times New Roman" w:hAnsi="Times New Roman" w:cs="Times New Roman"/>
          <w:sz w:val="20"/>
          <w:szCs w:val="20"/>
          <w:lang w:eastAsia="en-IN"/>
        </w:rPr>
        <w:t xml:space="preserve">, a multivariate version of </w:t>
      </w:r>
      <w:r w:rsidRPr="00EF5838">
        <w:rPr>
          <w:rFonts w:ascii="Courier New" w:eastAsia="Times New Roman" w:hAnsi="Courier New" w:cs="Courier New"/>
          <w:sz w:val="20"/>
          <w:szCs w:val="20"/>
          <w:lang w:eastAsia="en-IN"/>
        </w:rPr>
        <w:t>sapply</w:t>
      </w:r>
      <w:r w:rsidRPr="00EF5838">
        <w:rPr>
          <w:rFonts w:ascii="Times New Roman" w:eastAsia="Times New Roman" w:hAnsi="Times New Roman" w:cs="Times New Roman"/>
          <w:sz w:val="20"/>
          <w:szCs w:val="20"/>
          <w:lang w:eastAsia="en-IN"/>
        </w:rPr>
        <w:t>. To illustrate, let’s compute the hazard from a Weibull distribution given 3 values each of the shape and scale parameters at time points 1 and 2. The output is a matrix where each row corresponds to a time point and each column is combination of the shape and scale parameters. For example, the second row and third column is the hazard at time point 2 given a shape parameter of 1.5 and a scale parameter of 1.75.</w:t>
      </w:r>
    </w:p>
    <w:p w14:paraId="6F081DC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mapply(flexsurv::hweibull, </w:t>
      </w:r>
    </w:p>
    <w:p w14:paraId="256AD74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c(.5, 1, 1.5),</w:t>
      </w:r>
    </w:p>
    <w:p w14:paraId="0ED06D3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 = c(.25, 1, 1.75),</w:t>
      </w:r>
    </w:p>
    <w:p w14:paraId="6CFAD54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MoreArgs = list(x = 1:2))</w:t>
      </w:r>
    </w:p>
    <w:p w14:paraId="6DD61AF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[,2]      [,3]</w:t>
      </w:r>
    </w:p>
    <w:p w14:paraId="49D5DC9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1.0000000    1 0.6479391</w:t>
      </w:r>
    </w:p>
    <w:p w14:paraId="2C7C326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[2,] 0.7071068    1 0.9163243</w:t>
      </w:r>
    </w:p>
    <w:p w14:paraId="33A6269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more general function uses </w:t>
      </w:r>
      <w:r w:rsidRPr="00EF5838">
        <w:rPr>
          <w:rFonts w:ascii="Courier New" w:eastAsia="Times New Roman" w:hAnsi="Courier New" w:cs="Courier New"/>
          <w:sz w:val="20"/>
          <w:szCs w:val="20"/>
          <w:lang w:eastAsia="en-IN"/>
        </w:rPr>
        <w:t>mapply</w:t>
      </w:r>
      <w:r w:rsidRPr="00EF5838">
        <w:rPr>
          <w:rFonts w:ascii="Times New Roman" w:eastAsia="Times New Roman" w:hAnsi="Times New Roman" w:cs="Times New Roman"/>
          <w:sz w:val="20"/>
          <w:szCs w:val="20"/>
          <w:lang w:eastAsia="en-IN"/>
        </w:rPr>
        <w:t xml:space="preserve"> to return a </w:t>
      </w:r>
      <w:r w:rsidRPr="00EF5838">
        <w:rPr>
          <w:rFonts w:ascii="Courier New" w:eastAsia="Times New Roman" w:hAnsi="Courier New" w:cs="Courier New"/>
          <w:sz w:val="20"/>
          <w:szCs w:val="20"/>
          <w:lang w:eastAsia="en-IN"/>
        </w:rPr>
        <w:t>data.table</w:t>
      </w:r>
      <w:r w:rsidRPr="00EF5838">
        <w:rPr>
          <w:rFonts w:ascii="Times New Roman" w:eastAsia="Times New Roman" w:hAnsi="Times New Roman" w:cs="Times New Roman"/>
          <w:sz w:val="20"/>
          <w:szCs w:val="20"/>
          <w:lang w:eastAsia="en-IN"/>
        </w:rPr>
        <w:t xml:space="preserve"> of hazards at all possible combinations of the parameter values and time points. Factor variables and intuitive names are also returned to facilitate plotting with </w:t>
      </w:r>
      <w:r w:rsidRPr="00EF5838">
        <w:rPr>
          <w:rFonts w:ascii="Courier New" w:eastAsia="Times New Roman" w:hAnsi="Courier New" w:cs="Courier New"/>
          <w:sz w:val="20"/>
          <w:szCs w:val="20"/>
          <w:lang w:eastAsia="en-IN"/>
        </w:rPr>
        <w:t>ggplot2</w:t>
      </w:r>
      <w:r w:rsidRPr="00EF5838">
        <w:rPr>
          <w:rFonts w:ascii="Times New Roman" w:eastAsia="Times New Roman" w:hAnsi="Times New Roman" w:cs="Times New Roman"/>
          <w:sz w:val="20"/>
          <w:szCs w:val="20"/>
          <w:lang w:eastAsia="en-IN"/>
        </w:rPr>
        <w:t>.</w:t>
      </w:r>
    </w:p>
    <w:p w14:paraId="0823E0F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hazfun &lt;- function(FUN, param_vals, times){</w:t>
      </w:r>
    </w:p>
    <w:p w14:paraId="63799F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Compute hazard for all possible combinations of parameters and times</w:t>
      </w:r>
    </w:p>
    <w:p w14:paraId="4BEA8C7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&lt;- do.call("mapply", c(list(FUN = FUN),</w:t>
      </w:r>
    </w:p>
    <w:p w14:paraId="001B531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as.list(expand.grid(param_vals)),</w:t>
      </w:r>
    </w:p>
    <w:p w14:paraId="334FC3D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list(MoreArgs = list(x = times))))</w:t>
      </w:r>
    </w:p>
    <w:p w14:paraId="16180BB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 &lt;- data.table(expand.grid(c(param_vals, list(time = times))),</w:t>
      </w:r>
    </w:p>
    <w:p w14:paraId="338509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 = c(t(values)))</w:t>
      </w:r>
    </w:p>
    <w:p w14:paraId="11D88CE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3BA31C9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Create factor variables and intuitive names for plotting</w:t>
      </w:r>
    </w:p>
    <w:p w14:paraId="7B8BB08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param_names &lt;- names(param_vals)</w:t>
      </w:r>
    </w:p>
    <w:p w14:paraId="3901152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x[[param_names[1]]] &lt;- factor(x[[param_names[1]]],</w:t>
      </w:r>
    </w:p>
    <w:p w14:paraId="79960DE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unique(x[[param_names[1]]]))</w:t>
      </w:r>
    </w:p>
    <w:p w14:paraId="0C9F42D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if (length(param_vals) &gt; 1){</w:t>
      </w:r>
    </w:p>
    <w:p w14:paraId="54D4CEC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for (j in 2:length(param_vals)){</w:t>
      </w:r>
    </w:p>
    <w:p w14:paraId="030CC45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ordered_vals &lt;- unique(x[[param_names[j]]])</w:t>
      </w:r>
    </w:p>
    <w:p w14:paraId="1BD50B9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x[[param_names[j]]] &lt;- paste0(param_names[j], " = ", x[[param_names[j]]])</w:t>
      </w:r>
    </w:p>
    <w:p w14:paraId="572B168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factor_levels &lt;- paste0(param_names[j], " = ", ordered_vals)</w:t>
      </w:r>
    </w:p>
    <w:p w14:paraId="2B0BDBA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x[[param_names[j]]] &lt;- factor(x[[param_names[j]]],</w:t>
      </w:r>
    </w:p>
    <w:p w14:paraId="00F6B91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factor_levels)</w:t>
      </w:r>
    </w:p>
    <w:p w14:paraId="142760E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45BD449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08FCABC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6056064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 Return</w:t>
      </w:r>
    </w:p>
    <w:p w14:paraId="5F3C5CC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return(x)</w:t>
      </w:r>
    </w:p>
    <w:p w14:paraId="29BF85C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w:t>
      </w:r>
    </w:p>
    <w:p w14:paraId="337CBE99"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Exponential distribution</w:t>
      </w:r>
    </w:p>
    <w:p w14:paraId="53A8C51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exponential distribution is parameterized by a single rate parameter and only supports a hazard that is constant over time. The hazard is simply equal to the rate parameter.</w:t>
      </w:r>
    </w:p>
    <w:p w14:paraId="0C9E684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times &lt;- seq(1, 10, 1)</w:t>
      </w:r>
    </w:p>
    <w:p w14:paraId="3412A8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rate &lt;- seq(1, 5, 1)</w:t>
      </w:r>
    </w:p>
    <w:p w14:paraId="4AE2D83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haz_exp &lt;- hazfun(flexsurv::hexp, </w:t>
      </w:r>
    </w:p>
    <w:p w14:paraId="7B8D15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list(rate = rate),</w:t>
      </w:r>
    </w:p>
    <w:p w14:paraId="6E8E6F5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695386B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ggplot(haz_exp, aes(x = time, y = value, col = rate)) +</w:t>
      </w:r>
    </w:p>
    <w:p w14:paraId="446440B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xlab("Time") + ylab("Hazard") +</w:t>
      </w:r>
    </w:p>
    <w:p w14:paraId="5514BB8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scale_y_continuous(breaks = rate) </w:t>
      </w:r>
    </w:p>
    <w:p w14:paraId="176BD3B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4F0845AE" wp14:editId="0B660206">
            <wp:extent cx="4343400" cy="2712720"/>
            <wp:effectExtent l="0" t="0" r="0" b="0"/>
            <wp:docPr id="11" name="Picture 11" descr="plot of chunk haz_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haz_ex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EA6A007"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Weibull distribution (AFT)</w:t>
      </w:r>
    </w:p>
    <w:p w14:paraId="7955E00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Weibull distribution can be parameterized as both an </w:t>
      </w:r>
      <w:hyperlink r:id="rId7" w:tgtFrame="_blank" w:history="1">
        <w:r w:rsidRPr="00EF5838">
          <w:rPr>
            <w:rFonts w:ascii="Times New Roman" w:eastAsia="Times New Roman" w:hAnsi="Times New Roman" w:cs="Times New Roman"/>
            <w:color w:val="0000FF"/>
            <w:sz w:val="20"/>
            <w:szCs w:val="20"/>
            <w:u w:val="single"/>
            <w:lang w:eastAsia="en-IN"/>
          </w:rPr>
          <w:t>accelerated failure time (AFT) model</w:t>
        </w:r>
      </w:hyperlink>
      <w:r w:rsidRPr="00EF5838">
        <w:rPr>
          <w:rFonts w:ascii="Times New Roman" w:eastAsia="Times New Roman" w:hAnsi="Times New Roman" w:cs="Times New Roman"/>
          <w:sz w:val="20"/>
          <w:szCs w:val="20"/>
          <w:lang w:eastAsia="en-IN"/>
        </w:rPr>
        <w:t xml:space="preserve"> or as a </w:t>
      </w:r>
      <w:hyperlink r:id="rId8" w:tgtFrame="_blank" w:history="1">
        <w:r w:rsidRPr="00EF5838">
          <w:rPr>
            <w:rFonts w:ascii="Times New Roman" w:eastAsia="Times New Roman" w:hAnsi="Times New Roman" w:cs="Times New Roman"/>
            <w:color w:val="0000FF"/>
            <w:sz w:val="20"/>
            <w:szCs w:val="20"/>
            <w:u w:val="single"/>
            <w:lang w:eastAsia="en-IN"/>
          </w:rPr>
          <w:t>proportional hazards (PH) model</w:t>
        </w:r>
      </w:hyperlink>
      <w:r w:rsidRPr="00EF5838">
        <w:rPr>
          <w:rFonts w:ascii="Times New Roman" w:eastAsia="Times New Roman" w:hAnsi="Times New Roman" w:cs="Times New Roman"/>
          <w:sz w:val="20"/>
          <w:szCs w:val="20"/>
          <w:lang w:eastAsia="en-IN"/>
        </w:rPr>
        <w:t xml:space="preserve">. The parameterization in the base </w:t>
      </w:r>
      <w:r w:rsidRPr="00EF5838">
        <w:rPr>
          <w:rFonts w:ascii="Courier New" w:eastAsia="Times New Roman" w:hAnsi="Courier New" w:cs="Courier New"/>
          <w:sz w:val="20"/>
          <w:szCs w:val="20"/>
          <w:lang w:eastAsia="en-IN"/>
        </w:rPr>
        <w:t>stats</w:t>
      </w:r>
      <w:r w:rsidRPr="00EF5838">
        <w:rPr>
          <w:rFonts w:ascii="Times New Roman" w:eastAsia="Times New Roman" w:hAnsi="Times New Roman" w:cs="Times New Roman"/>
          <w:sz w:val="20"/>
          <w:szCs w:val="20"/>
          <w:lang w:eastAsia="en-IN"/>
        </w:rPr>
        <w:t xml:space="preserve"> package is an AFT model.</w:t>
      </w:r>
    </w:p>
    <w:p w14:paraId="6E7FF17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is decreasing for shape parameter $a &lt; 1$ and increasing for $a &gt; 1$. For $a = 1$, the Weibull distribution is equivalent to an exponential distribution with rate parameter $1/b$ where $b$ is the scale parameter.</w:t>
      </w:r>
    </w:p>
    <w:p w14:paraId="3D6021F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wei_shape &lt;- seq(.25, 3, .25)</w:t>
      </w:r>
    </w:p>
    <w:p w14:paraId="2C03438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haz_wei &lt;- hazfun(flexsurv::hweibull, </w:t>
      </w:r>
    </w:p>
    <w:p w14:paraId="1441E96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list(scale = seq(2, 5, .5),</w:t>
      </w:r>
    </w:p>
    <w:p w14:paraId="3FA50FE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wei_shape),</w:t>
      </w:r>
    </w:p>
    <w:p w14:paraId="3A60F7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350A760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ggplot(haz_wei, aes(x = time, y = value, col = scale)) +</w:t>
      </w:r>
    </w:p>
    <w:p w14:paraId="6D5DA2C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facet_wrap(~shape, scales = "free_y") +</w:t>
      </w:r>
    </w:p>
    <w:p w14:paraId="3C3AC91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3642647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6368638A" wp14:editId="36BF8A49">
            <wp:extent cx="4343400" cy="2712720"/>
            <wp:effectExtent l="0" t="0" r="0" b="0"/>
            <wp:docPr id="12" name="Picture 12" descr="plot of chunk haz_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haz_w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C15A1B2"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Weibull distribution (PH)</w:t>
      </w:r>
    </w:p>
    <w:p w14:paraId="54E8E96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provides an alternative PH parameterization of the Weibull model with the same shape parameter $a$ and a scale parameter $m = b^{-a}$ where $b$ is the scale parameter in the AFT model.</w:t>
      </w:r>
    </w:p>
    <w:p w14:paraId="064FEA8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hazard is again decreasing for $a &lt; 1$, constant for $a = 1$, and increasing for $a &gt; 1$. Note that for $a = 1$, the PH Weibull distribution is equivalent to an exponential distribution with rate parameter $m$.</w:t>
      </w:r>
    </w:p>
    <w:p w14:paraId="42E5983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haz_weiPH &lt;- hazfun(flexsurv::hweibullPH, </w:t>
      </w:r>
    </w:p>
    <w:p w14:paraId="7D0D0E8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list(scale = seq(2, 5, .5),</w:t>
      </w:r>
    </w:p>
    <w:p w14:paraId="78F44D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wei_shape),</w:t>
      </w:r>
    </w:p>
    <w:p w14:paraId="4F51FC1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173FDA0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ggplot(haz_weiPH, aes(x = time, y = value, col = scale)) +</w:t>
      </w:r>
    </w:p>
    <w:p w14:paraId="079C7E8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facet_wrap(~shape, scales = "free_y") +</w:t>
      </w:r>
    </w:p>
    <w:p w14:paraId="19AE290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4967D4C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D28F499" wp14:editId="573C88DE">
            <wp:extent cx="4343400" cy="2712720"/>
            <wp:effectExtent l="0" t="0" r="0" b="0"/>
            <wp:docPr id="13" name="Picture 13" descr="plot of chunk haz_we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haz_wei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CC1B272" w14:textId="77777777" w:rsidR="005A6DE1" w:rsidRDefault="005A6DE1"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F5B49E3" w14:textId="7A29B2EA"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lastRenderedPageBreak/>
        <w:t>Gompertz distribution</w:t>
      </w:r>
    </w:p>
    <w:p w14:paraId="5C2E50A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Gompertz distribution is parameterized by a shape parameter $a$ and rate parameter $b$. The hazard is increasing for $a &gt; 0$, constant for $a = 0$, and decreasing for $a &lt; 0$. When $a = 0$, the Gompertz distribution is equivalent to an exponential distribution with rate parameter $b$.</w:t>
      </w:r>
    </w:p>
    <w:p w14:paraId="77D8B93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haz_gomp &lt;- hazfun(flexsurv::hgompertz, </w:t>
      </w:r>
    </w:p>
    <w:p w14:paraId="50461C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list(rate = seq(.5, 3, .5),</w:t>
      </w:r>
    </w:p>
    <w:p w14:paraId="2CBA19A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seq(-2, 2, .5)),</w:t>
      </w:r>
    </w:p>
    <w:p w14:paraId="7A7648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26C8188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ggplot(haz_gomp, aes(x = time, y = value, col = rate)) +</w:t>
      </w:r>
    </w:p>
    <w:p w14:paraId="6561347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facet_wrap(~shape, scales = "free_y") +</w:t>
      </w:r>
    </w:p>
    <w:p w14:paraId="5D2712D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3F09EEB6"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485B8D15" wp14:editId="7B402FB3">
            <wp:extent cx="4343400" cy="2712720"/>
            <wp:effectExtent l="0" t="0" r="0" b="0"/>
            <wp:docPr id="14" name="Picture 14" descr="plot of chunk haz_g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haz_go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B178F96"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Gamma distribution</w:t>
      </w:r>
    </w:p>
    <w:p w14:paraId="51EC54AB"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gamma distribution is parameterized by a shape parameter $a$ and a rate parameter $b$. Like the Weibull distribution, the hazard is decreasing for $a &lt; 1$, constant for $a = 1$, and increasing for $a &gt;1$. In the case where $a = 1$, the gamma distribution is an exponential distribution with rate parameter $b$.</w:t>
      </w:r>
    </w:p>
    <w:p w14:paraId="727902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haz_gam &lt;- hazfun(flexsurv::hgamma, </w:t>
      </w:r>
    </w:p>
    <w:p w14:paraId="2765D00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list(rate = seq(.5, 3, .5),</w:t>
      </w:r>
    </w:p>
    <w:p w14:paraId="07EA363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c(1e-5, .5, 1, seq(2, 6))),</w:t>
      </w:r>
    </w:p>
    <w:p w14:paraId="3F2FCDF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times)</w:t>
      </w:r>
    </w:p>
    <w:p w14:paraId="27FDC76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ggplot(haz_gam, aes(x = time, y = value, col = rate)) +</w:t>
      </w:r>
    </w:p>
    <w:p w14:paraId="4DD7EDF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facet_wrap(~shape, scales = "free_y") +</w:t>
      </w:r>
    </w:p>
    <w:p w14:paraId="6FD03ED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2307CDD2"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6872D465" wp14:editId="184B15F6">
            <wp:extent cx="4343400" cy="2712720"/>
            <wp:effectExtent l="0" t="0" r="0" b="0"/>
            <wp:docPr id="15" name="Picture 15" descr="plot of chunk haz_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haz_g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D6FB3BF"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Lognormal distribution</w:t>
      </w:r>
    </w:p>
    <w:p w14:paraId="414FAB0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lognormal distribution is parameterized by the mean $\mu$ and standard deviation $\sigma$ of survival time on the log scale. The lognormal hazard is either monotonically decreasing or arc-shaped. Note that the shape of the hazard depends on the values of both $\mu$ and $\sigma$.</w:t>
      </w:r>
    </w:p>
    <w:p w14:paraId="2860590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haz_lnorm &lt;- hazfun(flexsurv::hlnorm, </w:t>
      </w:r>
    </w:p>
    <w:p w14:paraId="1344FBB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list(meanlog = seq(0, 4, .5),</w:t>
      </w:r>
    </w:p>
    <w:p w14:paraId="5879C44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sdlog = seq(.5, 3, .5)),</w:t>
      </w:r>
    </w:p>
    <w:p w14:paraId="526C542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seq(0, 20, .1))</w:t>
      </w:r>
    </w:p>
    <w:p w14:paraId="20E52D0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ggplot(haz_lnorm, aes(x = time, y = value, col = meanlog)) +</w:t>
      </w:r>
    </w:p>
    <w:p w14:paraId="12FCCBE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facet_wrap(~sdlog, scales = "free_y") +</w:t>
      </w:r>
    </w:p>
    <w:p w14:paraId="0727CB9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1CB9414F"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13964E18" wp14:editId="083EAC63">
            <wp:extent cx="4343400" cy="2712720"/>
            <wp:effectExtent l="0" t="0" r="0" b="0"/>
            <wp:docPr id="16" name="Picture 16" descr="plot of chunk haz_l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haz_ln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5648C2CE" w14:textId="77777777" w:rsidR="005A6DE1" w:rsidRDefault="005A6DE1"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A71205" w14:textId="77777777" w:rsidR="005A6DE1" w:rsidRDefault="005A6DE1"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A0B400E" w14:textId="40663FB6"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lastRenderedPageBreak/>
        <w:t>Log-logistic distribution</w:t>
      </w:r>
    </w:p>
    <w:p w14:paraId="6CA51015"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log-logistic distribution is parameterized by a shape parameter $a$ and a scale parameter $b$. When $a &gt; 1$, the hazard function is arc-shaped whereas when $a \leq 1$, the hazard function is decreasing monotonically.</w:t>
      </w:r>
    </w:p>
    <w:p w14:paraId="1366DBE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haz_llogis &lt;- hazfun(flexsurv::hllogis, </w:t>
      </w:r>
    </w:p>
    <w:p w14:paraId="6C0F2A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list(scale = seq(.5, 4, .5),</w:t>
      </w:r>
    </w:p>
    <w:p w14:paraId="1CEC93D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shape = seq(.5, 3, .5)),</w:t>
      </w:r>
    </w:p>
    <w:p w14:paraId="3AEF74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seq(0, 20, 1))</w:t>
      </w:r>
    </w:p>
    <w:p w14:paraId="0F54EF2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ggplot(haz_llogis, aes(x = time, y = value, col = scale)) +</w:t>
      </w:r>
    </w:p>
    <w:p w14:paraId="486660F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facet_wrap(~shape, scales = "free_y") +</w:t>
      </w:r>
    </w:p>
    <w:p w14:paraId="1AA1A78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w:t>
      </w:r>
    </w:p>
    <w:p w14:paraId="46A41BA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768183F" wp14:editId="1F771144">
            <wp:extent cx="4343400" cy="2712720"/>
            <wp:effectExtent l="0" t="0" r="0" b="0"/>
            <wp:docPr id="17" name="Picture 17" descr="plot of chunk haz_llo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haz_llog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0C52E42"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Generalized gamma distribution</w:t>
      </w:r>
    </w:p>
    <w:p w14:paraId="478C5EF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The generalized gamma distribution is parameterized by a location parameter $\mu$, a scale parameter $\sigma$, and a shape parameter $Q$. It is the most flexible distribution reviewed in this post and includes the exponential ($Q = \sigma = 1$), Weibull ($Q = 1$), gamma ($Q = \sigma$), and lognormal ($Q = 0$) distributions as special cases.</w:t>
      </w:r>
    </w:p>
    <w:p w14:paraId="6F24CE8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Each row in the figure corresponds to a unique value of $\sigma$ and each column corresponds to a unique value of $Q$.The generalized gamma distribution is quite flexible as it supports hazard functions that are monotonically increasing, monotonically decreasing, arc-shaped, and bathtub shaped.</w:t>
      </w:r>
    </w:p>
    <w:p w14:paraId="7214CB5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haz_gengamma &lt;- hazfun(flexsurv::hgengamma, </w:t>
      </w:r>
    </w:p>
    <w:p w14:paraId="22CAAE6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list(mu = seq(1, 4, .5),</w:t>
      </w:r>
    </w:p>
    <w:p w14:paraId="5490F2B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sigma = seq(.5, 2, .5),</w:t>
      </w:r>
    </w:p>
    <w:p w14:paraId="57BB4B4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Q = seq(-3, 3, 1)),</w:t>
      </w:r>
    </w:p>
    <w:p w14:paraId="474336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times = seq(0, 30, 1))</w:t>
      </w:r>
    </w:p>
    <w:p w14:paraId="789A8B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ggplot(haz_gengamma, aes(x = time, y = value, col = mu)) +</w:t>
      </w:r>
    </w:p>
    <w:p w14:paraId="5BE6815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 </w:t>
      </w:r>
    </w:p>
    <w:p w14:paraId="34FCF0B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facet_wrap(sigma ~ Q,</w:t>
      </w:r>
    </w:p>
    <w:p w14:paraId="66AAD3C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ncol = length(levels(haz_gengamma$Q)),</w:t>
      </w:r>
    </w:p>
    <w:p w14:paraId="428C31F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scales = "free") +</w:t>
      </w:r>
    </w:p>
    <w:p w14:paraId="1765D06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xlab("Time") + ylab("Hazard") + </w:t>
      </w:r>
    </w:p>
    <w:p w14:paraId="37F9136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theme(legend.position = "bottom") +</w:t>
      </w:r>
    </w:p>
    <w:p w14:paraId="696A264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guides(col = guide_legend(nrow = 2, byrow = TRUE))</w:t>
      </w:r>
    </w:p>
    <w:p w14:paraId="284BD6DA"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35DE1227" wp14:editId="236B41B4">
            <wp:extent cx="4335780" cy="3909060"/>
            <wp:effectExtent l="0" t="0" r="7620" b="0"/>
            <wp:docPr id="18" name="Picture 18" descr="plot of chunk haz_gen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haz_gengam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909060"/>
                    </a:xfrm>
                    <a:prstGeom prst="rect">
                      <a:avLst/>
                    </a:prstGeom>
                    <a:noFill/>
                    <a:ln>
                      <a:noFill/>
                    </a:ln>
                  </pic:spPr>
                </pic:pic>
              </a:graphicData>
            </a:graphic>
          </wp:inline>
        </w:drawing>
      </w:r>
    </w:p>
    <w:p w14:paraId="007E273D"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Regression</w:t>
      </w:r>
    </w:p>
    <w:p w14:paraId="02B411ED"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In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survival models are fit to the data using maximum likelihood. Each parameter can be modeled as a function of covariates $z$,</w:t>
      </w:r>
    </w:p>
    <w:p w14:paraId="51205E8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where $\alpha_l$ is the $l$th parameter and $g^{-1}()$ is a link function (typically $log()$ if the parameter is strictly positive and the identity function if the parameter is defined on the real line).</w:t>
      </w:r>
    </w:p>
    <w:p w14:paraId="61D6630C"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will illustrate by modeling survival in a dataset of patients with advanced lung cancer from the </w:t>
      </w:r>
      <w:r w:rsidRPr="00EF5838">
        <w:rPr>
          <w:rFonts w:ascii="Courier New" w:eastAsia="Times New Roman" w:hAnsi="Courier New" w:cs="Courier New"/>
          <w:sz w:val="20"/>
          <w:szCs w:val="20"/>
          <w:lang w:eastAsia="en-IN"/>
        </w:rPr>
        <w:t>survival</w:t>
      </w:r>
      <w:r w:rsidRPr="00EF5838">
        <w:rPr>
          <w:rFonts w:ascii="Times New Roman" w:eastAsia="Times New Roman" w:hAnsi="Times New Roman" w:cs="Times New Roman"/>
          <w:sz w:val="20"/>
          <w:szCs w:val="20"/>
          <w:lang w:eastAsia="en-IN"/>
        </w:rPr>
        <w:t xml:space="preserve"> package. The dataset uses a status indicator where 2 denotes death and 1 denotes alive at the time of last follow-up; we will convert this to the more traditional coding where 0 is dead and 1 is alive.</w:t>
      </w:r>
    </w:p>
    <w:p w14:paraId="78A2AF5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dat &lt;- data.table(survival::lung)</w:t>
      </w:r>
    </w:p>
    <w:p w14:paraId="142D1F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dat[, status := ifelse(status == 1, 0, 1)]</w:t>
      </w:r>
    </w:p>
    <w:p w14:paraId="222DBA7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head(dat)</w:t>
      </w:r>
    </w:p>
    <w:p w14:paraId="4F56F6A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inst time status age sex ph.ecog ph.karno pat.karno meal.cal wt.loss</w:t>
      </w:r>
    </w:p>
    <w:p w14:paraId="5641C1A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3  306      1  74   1       1       90       100     1175      NA</w:t>
      </w:r>
    </w:p>
    <w:p w14:paraId="33AE309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2:    3  455      1  68   1       0       90        90     1225      15</w:t>
      </w:r>
    </w:p>
    <w:p w14:paraId="3C8A779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3:    3 1010      0  56   1       0       90        90       NA      15</w:t>
      </w:r>
    </w:p>
    <w:p w14:paraId="271B46F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4:    5  210      1  57   1       1       90        60     1150      11</w:t>
      </w:r>
    </w:p>
    <w:p w14:paraId="5C7EE4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5:    1  883      1  60   1       0      100        90       NA       0</w:t>
      </w:r>
    </w:p>
    <w:p w14:paraId="0B13A9A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6:   12 1022      0  74   1       1       50        80      513       0</w:t>
      </w:r>
    </w:p>
    <w:p w14:paraId="0C5F513F"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Intercept only model</w:t>
      </w:r>
    </w:p>
    <w:p w14:paraId="3FBC8380"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We will begin by estimating intercept only parametric regression models (i.e., without covariates). But first, it’s helpful to estimate the hazard function (among all patients) using nonparametric techniques. We can do this using the kernel density estimator from the </w:t>
      </w:r>
      <w:r w:rsidRPr="00EF5838">
        <w:rPr>
          <w:rFonts w:ascii="Courier New" w:eastAsia="Times New Roman" w:hAnsi="Courier New" w:cs="Courier New"/>
          <w:sz w:val="20"/>
          <w:szCs w:val="20"/>
          <w:lang w:eastAsia="en-IN"/>
        </w:rPr>
        <w:t>muhaz</w:t>
      </w:r>
      <w:r w:rsidRPr="00EF5838">
        <w:rPr>
          <w:rFonts w:ascii="Times New Roman" w:eastAsia="Times New Roman" w:hAnsi="Times New Roman" w:cs="Times New Roman"/>
          <w:sz w:val="20"/>
          <w:szCs w:val="20"/>
          <w:lang w:eastAsia="en-IN"/>
        </w:rPr>
        <w:t xml:space="preserve"> package.</w:t>
      </w:r>
    </w:p>
    <w:p w14:paraId="3E0DA66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library("muhaz")</w:t>
      </w:r>
    </w:p>
    <w:p w14:paraId="2CB4D21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kernel_haz_est &lt;- muhaz(dat$time, dat$status)</w:t>
      </w:r>
    </w:p>
    <w:p w14:paraId="2FEDC4E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kernel_haz &lt;- data.table(time = kernel_haz_est$est.grid,</w:t>
      </w:r>
    </w:p>
    <w:p w14:paraId="4FA7C35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est = kernel_haz_est$haz.est,</w:t>
      </w:r>
    </w:p>
    <w:p w14:paraId="71FE7A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method = "Kernel density")</w:t>
      </w:r>
    </w:p>
    <w:p w14:paraId="4AAAEDC1"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Then we can use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to estimate intercept only models for a range of probability distributions. The hazard function for each fitted model is returned using </w:t>
      </w:r>
      <w:r w:rsidRPr="00EF5838">
        <w:rPr>
          <w:rFonts w:ascii="Courier New" w:eastAsia="Times New Roman" w:hAnsi="Courier New" w:cs="Courier New"/>
          <w:sz w:val="20"/>
          <w:szCs w:val="20"/>
          <w:lang w:eastAsia="en-IN"/>
        </w:rPr>
        <w:t>summary.flexsurvreg()</w:t>
      </w:r>
      <w:r w:rsidRPr="00EF5838">
        <w:rPr>
          <w:rFonts w:ascii="Times New Roman" w:eastAsia="Times New Roman" w:hAnsi="Times New Roman" w:cs="Times New Roman"/>
          <w:sz w:val="20"/>
          <w:szCs w:val="20"/>
          <w:lang w:eastAsia="en-IN"/>
        </w:rPr>
        <w:t>.</w:t>
      </w:r>
    </w:p>
    <w:p w14:paraId="1A6FD64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dists &lt;- c("exp", "weibull", "gompertz", "gamma", </w:t>
      </w:r>
    </w:p>
    <w:p w14:paraId="4F7B975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"lognormal", "llogis", "gengamma")</w:t>
      </w:r>
    </w:p>
    <w:p w14:paraId="5368C32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dists_long &lt;- c("Exponential", "Weibull (AFT)",</w:t>
      </w:r>
    </w:p>
    <w:p w14:paraId="7512DED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"Gompertz", "Gamma", "Lognormal", "Log-logistic",</w:t>
      </w:r>
    </w:p>
    <w:p w14:paraId="6FFBE91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"Generalized gamma")</w:t>
      </w:r>
    </w:p>
    <w:p w14:paraId="2E2A3B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parametric_haz &lt;- vector(mode = "list", length = length(dists))</w:t>
      </w:r>
    </w:p>
    <w:p w14:paraId="2545DC1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for (i in 1:length(dists)){</w:t>
      </w:r>
    </w:p>
    <w:p w14:paraId="0419B21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fit &lt;- flexsurvreg(Surv(time, status) ~ 1, data = dat, dist = dists[i]) </w:t>
      </w:r>
    </w:p>
    <w:p w14:paraId="68D2756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parametric_haz[[i]] &lt;- summary(fit, type = "hazard", </w:t>
      </w:r>
    </w:p>
    <w:p w14:paraId="6CEF923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ci = FALSE, tidy = TRUE)</w:t>
      </w:r>
    </w:p>
    <w:p w14:paraId="3DCA1E7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parametric_haz[[i]]$method &lt;- dists_long[i]</w:t>
      </w:r>
    </w:p>
    <w:p w14:paraId="0E0012F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w:t>
      </w:r>
    </w:p>
    <w:p w14:paraId="33E3CBF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parametric_haz &lt;- rbindlist(parametric_haz)</w:t>
      </w:r>
    </w:p>
    <w:p w14:paraId="4513CA52"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We can plot the hazard functions from the parametric models and compare them to the kernel density estimate.</w:t>
      </w:r>
    </w:p>
    <w:p w14:paraId="2345899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haz &lt;- rbind(kernel_haz, parametric_haz)</w:t>
      </w:r>
    </w:p>
    <w:p w14:paraId="3DBC9C4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haz[, method := factor(method,</w:t>
      </w:r>
    </w:p>
    <w:p w14:paraId="07C5417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levels = c("Kernel density",</w:t>
      </w:r>
    </w:p>
    <w:p w14:paraId="356E3A7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dists_long))]</w:t>
      </w:r>
    </w:p>
    <w:p w14:paraId="60C6C4B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n_dists &lt;- length(dists) </w:t>
      </w:r>
    </w:p>
    <w:p w14:paraId="4474C11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ggplot(haz, aes(x = time, y = est, col = method, linetype = method)) +</w:t>
      </w:r>
    </w:p>
    <w:p w14:paraId="4E20AD2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w:t>
      </w:r>
    </w:p>
    <w:p w14:paraId="569F9F8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xlab("Days") + ylab("Hazard") + </w:t>
      </w:r>
    </w:p>
    <w:p w14:paraId="44B839F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scale_colour_manual(name = "", </w:t>
      </w:r>
    </w:p>
    <w:p w14:paraId="6A94817C"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 c("black", rainbow(n_dists))) +</w:t>
      </w:r>
    </w:p>
    <w:p w14:paraId="5E385A3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scale_linetype_manual(name = "",</w:t>
      </w:r>
    </w:p>
    <w:p w14:paraId="32E91C7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values = c(1, rep_len(2:6, n_dists)))</w:t>
      </w:r>
    </w:p>
    <w:p w14:paraId="33F4BA39"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drawing>
          <wp:inline distT="0" distB="0" distL="0" distR="0" wp14:anchorId="64C46091" wp14:editId="5CB99422">
            <wp:extent cx="4343400" cy="2895600"/>
            <wp:effectExtent l="0" t="0" r="0" b="0"/>
            <wp:docPr id="19" name="Picture 19" descr="plot of chunk reg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reg_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4E98E5C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lastRenderedPageBreak/>
        <w:t>The kernel density estimate is monotonically increasing and the slope increases considerably after around 500 days. The arc-shaped lognormal and log-logistic hazards and the constant exponential hazard do not fit the data well. The best performing models are those that support monotonically increasing hazards (Gompertz, Weibull, gamma, and generalized gamma). The flexible generalized gamma and the Gompertz models perform the best with the Gompertz modeling the increase in the slope of the hazard the most closely.</w:t>
      </w:r>
    </w:p>
    <w:p w14:paraId="5AB34780" w14:textId="77777777" w:rsidR="00EF5838" w:rsidRPr="00EF5838" w:rsidRDefault="00EF5838" w:rsidP="00EF5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5838">
        <w:rPr>
          <w:rFonts w:ascii="Times New Roman" w:eastAsia="Times New Roman" w:hAnsi="Times New Roman" w:cs="Times New Roman"/>
          <w:b/>
          <w:bCs/>
          <w:sz w:val="36"/>
          <w:szCs w:val="36"/>
          <w:lang w:eastAsia="en-IN"/>
        </w:rPr>
        <w:t>Adding covariates</w:t>
      </w:r>
    </w:p>
    <w:p w14:paraId="2ACAD54A" w14:textId="7D6B08AE"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As mentioned above each parameter can be modeled as a function of covariates. By default,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only uses covariates to model the location parameter. To demonstrate, we will let the rate parameter of the Gompertz distribution depend on the ECOG performance score (0 = good, 5 = dead), which describes a patient’s level of functioning. The model is fit using </w:t>
      </w:r>
      <w:r w:rsidRPr="00EF5838">
        <w:rPr>
          <w:rFonts w:ascii="Courier New" w:eastAsia="Times New Roman" w:hAnsi="Courier New" w:cs="Courier New"/>
          <w:sz w:val="20"/>
          <w:szCs w:val="20"/>
          <w:lang w:eastAsia="en-IN"/>
        </w:rPr>
        <w:t>flexsurvreg()</w:t>
      </w:r>
      <w:r w:rsidRPr="00EF5838">
        <w:rPr>
          <w:rFonts w:ascii="Times New Roman" w:eastAsia="Times New Roman" w:hAnsi="Times New Roman" w:cs="Times New Roman"/>
          <w:sz w:val="20"/>
          <w:szCs w:val="20"/>
          <w:lang w:eastAsia="en-IN"/>
        </w:rPr>
        <w:t>.</w:t>
      </w:r>
    </w:p>
    <w:p w14:paraId="42653E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dat[, ph.ecog := factor(ph.ecog)]</w:t>
      </w:r>
    </w:p>
    <w:p w14:paraId="412B78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479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Covariates on rate parameter only</w:t>
      </w:r>
    </w:p>
    <w:p w14:paraId="15A8B95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fit_covs1 &lt;- flexsurvreg(Surv(time, status) ~ ph.ecog,</w:t>
      </w:r>
    </w:p>
    <w:p w14:paraId="04DA4C1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 dat, dist = "gompertz")</w:t>
      </w:r>
    </w:p>
    <w:p w14:paraId="45A6DFC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print(fit_covs1)</w:t>
      </w:r>
    </w:p>
    <w:p w14:paraId="2DE2EC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Call:</w:t>
      </w:r>
    </w:p>
    <w:p w14:paraId="75996CE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flexsurvreg(formula = Surv(time, status) ~ ph.ecog, data = dat, </w:t>
      </w:r>
    </w:p>
    <w:p w14:paraId="19F2F28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dist = "gompertz")</w:t>
      </w:r>
    </w:p>
    <w:p w14:paraId="184E98A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1A44262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Estimates: </w:t>
      </w:r>
    </w:p>
    <w:p w14:paraId="4379537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mean  est        L95%       U95%       se         exp(est) </w:t>
      </w:r>
    </w:p>
    <w:p w14:paraId="2083717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NA   0.001595   0.000925   0.002265   0.000342         NA</w:t>
      </w:r>
    </w:p>
    <w:p w14:paraId="6DA3CFE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NA   0.001070   0.000725   0.001579   0.000212         NA</w:t>
      </w:r>
    </w:p>
    <w:p w14:paraId="406B67D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ph.ecog1   0.497797   0.358883  -0.029676   0.747442   0.198248   1.431729</w:t>
      </w:r>
    </w:p>
    <w:p w14:paraId="737BB9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ph.ecog2   0.220264   0.910197   0.469959   1.350435   0.224615   2.484812</w:t>
      </w:r>
    </w:p>
    <w:p w14:paraId="6C93389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ph.ecog3   0.004405   1.973828  -0.020522   3.968179   1.017544   7.198181</w:t>
      </w:r>
    </w:p>
    <w:p w14:paraId="66EE303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L95%       U95%     </w:t>
      </w:r>
    </w:p>
    <w:p w14:paraId="5ABDE0C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NA         NA</w:t>
      </w:r>
    </w:p>
    <w:p w14:paraId="416581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NA         NA</w:t>
      </w:r>
    </w:p>
    <w:p w14:paraId="6E279B5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ph.ecog1   0.970760   2.111591</w:t>
      </w:r>
    </w:p>
    <w:p w14:paraId="0080583E"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ph.ecog2   1.599929   3.859102</w:t>
      </w:r>
    </w:p>
    <w:p w14:paraId="56C5F60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ph.ecog3   0.979687  52.888129</w:t>
      </w:r>
    </w:p>
    <w:p w14:paraId="037B2F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27E0BE5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N = 227,  Events: 164,  Censored: 63</w:t>
      </w:r>
    </w:p>
    <w:p w14:paraId="73F2D5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Total time at risk: 69522</w:t>
      </w:r>
    </w:p>
    <w:p w14:paraId="46016DF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Log-likelihood = -1139.984, df = 5</w:t>
      </w:r>
    </w:p>
    <w:p w14:paraId="3FE4A20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AIC = 2289.967</w:t>
      </w:r>
    </w:p>
    <w:p w14:paraId="4128C5B4"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Covariates for ancillary parameters can be supplied using the </w:t>
      </w:r>
      <w:r w:rsidRPr="00EF5838">
        <w:rPr>
          <w:rFonts w:ascii="Courier New" w:eastAsia="Times New Roman" w:hAnsi="Courier New" w:cs="Courier New"/>
          <w:sz w:val="20"/>
          <w:szCs w:val="20"/>
          <w:lang w:eastAsia="en-IN"/>
        </w:rPr>
        <w:t>anc</w:t>
      </w:r>
      <w:r w:rsidRPr="00EF5838">
        <w:rPr>
          <w:rFonts w:ascii="Times New Roman" w:eastAsia="Times New Roman" w:hAnsi="Times New Roman" w:cs="Times New Roman"/>
          <w:sz w:val="20"/>
          <w:szCs w:val="20"/>
          <w:lang w:eastAsia="en-IN"/>
        </w:rPr>
        <w:t xml:space="preserve"> argument to </w:t>
      </w:r>
      <w:r w:rsidRPr="00EF5838">
        <w:rPr>
          <w:rFonts w:ascii="Courier New" w:eastAsia="Times New Roman" w:hAnsi="Courier New" w:cs="Courier New"/>
          <w:sz w:val="20"/>
          <w:szCs w:val="20"/>
          <w:lang w:eastAsia="en-IN"/>
        </w:rPr>
        <w:t>flexsurvreg()</w:t>
      </w:r>
      <w:r w:rsidRPr="00EF5838">
        <w:rPr>
          <w:rFonts w:ascii="Times New Roman" w:eastAsia="Times New Roman" w:hAnsi="Times New Roman" w:cs="Times New Roman"/>
          <w:sz w:val="20"/>
          <w:szCs w:val="20"/>
          <w:lang w:eastAsia="en-IN"/>
        </w:rPr>
        <w:t>.</w:t>
      </w:r>
    </w:p>
    <w:p w14:paraId="5435581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Covariates on rate and shape parameter</w:t>
      </w:r>
    </w:p>
    <w:p w14:paraId="1D81520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fit_covs2 &lt;- flexsurvreg(Surv(time, status) ~ ph.ecog,</w:t>
      </w:r>
    </w:p>
    <w:p w14:paraId="0535CB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anc = list(shape =~ ph.ecog),</w:t>
      </w:r>
    </w:p>
    <w:p w14:paraId="7BDC87E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 dat, dist = "gompertz")</w:t>
      </w:r>
    </w:p>
    <w:p w14:paraId="5656961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print(fit_covs2)</w:t>
      </w:r>
    </w:p>
    <w:p w14:paraId="52C8BCD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Call:</w:t>
      </w:r>
    </w:p>
    <w:p w14:paraId="7A0208D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flexsurvreg(formula = Surv(time, status) ~ ph.ecog, anc = list(shape = ~ph.ecog), </w:t>
      </w:r>
    </w:p>
    <w:p w14:paraId="3B1A979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data = dat, dist = "gompertz")</w:t>
      </w:r>
    </w:p>
    <w:p w14:paraId="06367A9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lastRenderedPageBreak/>
        <w:t xml:space="preserve">## </w:t>
      </w:r>
    </w:p>
    <w:p w14:paraId="73089FB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Estimates: </w:t>
      </w:r>
    </w:p>
    <w:p w14:paraId="2CE3C1D7"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data mean   est         L95%        U95%      </w:t>
      </w:r>
    </w:p>
    <w:p w14:paraId="38901BE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NA    1.84e-03    5.54e-04    3.12e-03</w:t>
      </w:r>
    </w:p>
    <w:p w14:paraId="0B8BAC7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NA    9.89e-04    5.75e-04    1.70e-03</w:t>
      </w:r>
    </w:p>
    <w:p w14:paraId="086302A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ph.ecog1           4.98e-01    4.18e-01   -2.28e-01    1.06e+00</w:t>
      </w:r>
    </w:p>
    <w:p w14:paraId="5969A2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ph.ecog2           2.20e-01    1.11e+00    3.99e-01    1.82e+00</w:t>
      </w:r>
    </w:p>
    <w:p w14:paraId="4498508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ph.ecog3           4.41e-03   -3.02e+02   -9.48e+02    3.43e+02</w:t>
      </w:r>
    </w:p>
    <w:p w14:paraId="2256C0C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shape(ph.ecog1)    4.98e-01   -1.77e-04   -1.75e-03    1.40e-03</w:t>
      </w:r>
    </w:p>
    <w:p w14:paraId="752F96A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shape(ph.ecog2)    2.20e-01   -7.61e-04   -2.77e-03    1.25e-03</w:t>
      </w:r>
    </w:p>
    <w:p w14:paraId="3DB322C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shape(ph.ecog3)    4.41e-03    2.63e+00   -2.86e+00    8.11e+00</w:t>
      </w:r>
    </w:p>
    <w:p w14:paraId="1C4A7A20"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se          exp(est)    L95%        U95%      </w:t>
      </w:r>
    </w:p>
    <w:p w14:paraId="703BCFD3"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              6.54e-04          NA          NA          NA</w:t>
      </w:r>
    </w:p>
    <w:p w14:paraId="41A0C65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rate               2.74e-04          NA          NA          NA</w:t>
      </w:r>
    </w:p>
    <w:p w14:paraId="4FE4E43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ph.ecog1           3.30e-01    1.52e+00    7.96e-01    2.90e+00</w:t>
      </w:r>
    </w:p>
    <w:p w14:paraId="1B142D8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ph.ecog2           3.63e-01    3.04e+00    1.49e+00    6.19e+00</w:t>
      </w:r>
    </w:p>
    <w:p w14:paraId="7023978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ph.ecog3           3.29e+02   4.78e-132    0.00e+00   1.32e+149</w:t>
      </w:r>
    </w:p>
    <w:p w14:paraId="207980D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shape(ph.ecog1)    8.03e-04    1.00e+00    9.98e-01    1.00e+00</w:t>
      </w:r>
    </w:p>
    <w:p w14:paraId="7051A8A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shape(ph.ecog2)    1.02e-03    9.99e-01    9.97e-01    1.00e+00</w:t>
      </w:r>
    </w:p>
    <w:p w14:paraId="07C0E17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shape(ph.ecog3)    2.80e+00    1.38e+01    5.75e-02    3.33e+03</w:t>
      </w:r>
    </w:p>
    <w:p w14:paraId="0D97874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w:t>
      </w:r>
    </w:p>
    <w:p w14:paraId="092E575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N = 227,  Events: 164,  Censored: 63</w:t>
      </w:r>
    </w:p>
    <w:p w14:paraId="51DA3BB6"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Total time at risk: 69522</w:t>
      </w:r>
    </w:p>
    <w:p w14:paraId="3C31A66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Log-likelihood = -1134.06, df = 8</w:t>
      </w:r>
    </w:p>
    <w:p w14:paraId="57C9D632"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AIC = 2284.12</w:t>
      </w:r>
    </w:p>
    <w:p w14:paraId="752B2403"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The standard errors and confidence intervals are very large on the shape parameter coefficients, suggesting that they are not reliably estimated and that there is little evidence that the shape parameter depends on the ECOG score. A such, we will use the first model to predict the hazards. In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input data for prediction can be specified by using the </w:t>
      </w:r>
      <w:r w:rsidRPr="00EF5838">
        <w:rPr>
          <w:rFonts w:ascii="Courier New" w:eastAsia="Times New Roman" w:hAnsi="Courier New" w:cs="Courier New"/>
          <w:sz w:val="20"/>
          <w:szCs w:val="20"/>
          <w:lang w:eastAsia="en-IN"/>
        </w:rPr>
        <w:t>newdata</w:t>
      </w:r>
      <w:r w:rsidRPr="00EF5838">
        <w:rPr>
          <w:rFonts w:ascii="Times New Roman" w:eastAsia="Times New Roman" w:hAnsi="Times New Roman" w:cs="Times New Roman"/>
          <w:sz w:val="20"/>
          <w:szCs w:val="20"/>
          <w:lang w:eastAsia="en-IN"/>
        </w:rPr>
        <w:t xml:space="preserve"> argument in </w:t>
      </w:r>
      <w:r w:rsidRPr="00EF5838">
        <w:rPr>
          <w:rFonts w:ascii="Courier New" w:eastAsia="Times New Roman" w:hAnsi="Courier New" w:cs="Courier New"/>
          <w:sz w:val="20"/>
          <w:szCs w:val="20"/>
          <w:lang w:eastAsia="en-IN"/>
        </w:rPr>
        <w:t>summary.flexsurvreg()</w:t>
      </w:r>
      <w:r w:rsidRPr="00EF5838">
        <w:rPr>
          <w:rFonts w:ascii="Times New Roman" w:eastAsia="Times New Roman" w:hAnsi="Times New Roman" w:cs="Times New Roman"/>
          <w:sz w:val="20"/>
          <w:szCs w:val="20"/>
          <w:lang w:eastAsia="en-IN"/>
        </w:rPr>
        <w:t>. So we will first create this “new” dataset for prediction consisting of each possible value of the ECOG score in the data.</w:t>
      </w:r>
    </w:p>
    <w:p w14:paraId="13117DDB"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newdat &lt;- data.table(ph.ecog = sort(unique(dat[!is.na(ph.ecog)]$ph.ecog)))</w:t>
      </w:r>
    </w:p>
    <w:p w14:paraId="2115EA4A"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newdat[, ph.ecog := factor(ph.ecog)]</w:t>
      </w:r>
    </w:p>
    <w:p w14:paraId="60C9E7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print(newdat)</w:t>
      </w:r>
    </w:p>
    <w:p w14:paraId="3CBF68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ph.ecog</w:t>
      </w:r>
    </w:p>
    <w:p w14:paraId="16153FA4"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1:       0</w:t>
      </w:r>
    </w:p>
    <w:p w14:paraId="4837329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2:       1</w:t>
      </w:r>
    </w:p>
    <w:p w14:paraId="089CDE05"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3:       2</w:t>
      </w:r>
    </w:p>
    <w:p w14:paraId="04FE0F6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4:       3</w:t>
      </w:r>
    </w:p>
    <w:p w14:paraId="21A1B4F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We can then predict the hazard for each level of the ECOG score. The hazard increases with the ECOG score which is expected since higher scores denote higher levels of disability. Note, however, that the shape of the hazard remains the same since we did not find evidence that the shape parameter of the Gompertz distribution depended on the ECOG score.</w:t>
      </w:r>
    </w:p>
    <w:p w14:paraId="53A92E31"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haz_covs1 &lt;- summary(fit_covs1, newdata = newdat, type = "hazard", tidy = TRUE)</w:t>
      </w:r>
    </w:p>
    <w:p w14:paraId="1C5DF74D"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ggplot(haz_covs1, aes(x = time, y = est, col = ph.ecog)) + </w:t>
      </w:r>
    </w:p>
    <w:p w14:paraId="5BE51538"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geom_line() +</w:t>
      </w:r>
    </w:p>
    <w:p w14:paraId="7E6BF3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xlab("Days") + ylab("Hazard") +</w:t>
      </w:r>
    </w:p>
    <w:p w14:paraId="0E745C2F"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scale_color_discrete(name = "ECOG performance score") +</w:t>
      </w:r>
    </w:p>
    <w:p w14:paraId="21013BC9" w14:textId="77777777" w:rsidR="00EF5838" w:rsidRPr="00EF5838" w:rsidRDefault="00EF5838" w:rsidP="00EF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5838">
        <w:rPr>
          <w:rFonts w:ascii="Courier New" w:eastAsia="Times New Roman" w:hAnsi="Courier New" w:cs="Courier New"/>
          <w:sz w:val="20"/>
          <w:szCs w:val="20"/>
          <w:lang w:eastAsia="en-IN"/>
        </w:rPr>
        <w:t xml:space="preserve">  theme(legend.position = "bottom")</w:t>
      </w:r>
    </w:p>
    <w:p w14:paraId="475F5726"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noProof/>
          <w:sz w:val="20"/>
          <w:szCs w:val="20"/>
          <w:lang w:eastAsia="en-IN"/>
        </w:rPr>
        <w:lastRenderedPageBreak/>
        <w:drawing>
          <wp:inline distT="0" distB="0" distL="0" distR="0" wp14:anchorId="5674C70C" wp14:editId="59050A60">
            <wp:extent cx="4343400" cy="2712720"/>
            <wp:effectExtent l="0" t="0" r="0" b="0"/>
            <wp:docPr id="20" name="Picture 20" descr="plot of chunk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predi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F9F316F" w14:textId="77777777" w:rsidR="00EF5838" w:rsidRPr="00EF5838" w:rsidRDefault="00EF5838" w:rsidP="00EF5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5838">
        <w:rPr>
          <w:rFonts w:ascii="Times New Roman" w:eastAsia="Times New Roman" w:hAnsi="Times New Roman" w:cs="Times New Roman"/>
          <w:b/>
          <w:bCs/>
          <w:kern w:val="36"/>
          <w:sz w:val="48"/>
          <w:szCs w:val="48"/>
          <w:lang w:eastAsia="en-IN"/>
        </w:rPr>
        <w:t>Conclusion</w:t>
      </w:r>
    </w:p>
    <w:p w14:paraId="093846FE" w14:textId="77777777" w:rsidR="00EF5838" w:rsidRPr="00EF5838" w:rsidRDefault="00EF5838" w:rsidP="00EF5838">
      <w:pPr>
        <w:spacing w:before="100" w:beforeAutospacing="1" w:after="100" w:afterAutospacing="1" w:line="240" w:lineRule="auto"/>
        <w:rPr>
          <w:rFonts w:ascii="Times New Roman" w:eastAsia="Times New Roman" w:hAnsi="Times New Roman" w:cs="Times New Roman"/>
          <w:sz w:val="20"/>
          <w:szCs w:val="20"/>
          <w:lang w:eastAsia="en-IN"/>
        </w:rPr>
      </w:pPr>
      <w:r w:rsidRPr="00EF5838">
        <w:rPr>
          <w:rFonts w:ascii="Times New Roman" w:eastAsia="Times New Roman" w:hAnsi="Times New Roman" w:cs="Times New Roman"/>
          <w:sz w:val="20"/>
          <w:szCs w:val="20"/>
          <w:lang w:eastAsia="en-IN"/>
        </w:rPr>
        <w:t xml:space="preserve">Parametric models are a useful technique for survival analysis, particularly when there is a need to extrapolate survival outcomes beyond the available follow-up data. </w:t>
      </w:r>
      <w:r w:rsidRPr="00EF5838">
        <w:rPr>
          <w:rFonts w:ascii="Courier New" w:eastAsia="Times New Roman" w:hAnsi="Courier New" w:cs="Courier New"/>
          <w:sz w:val="20"/>
          <w:szCs w:val="20"/>
          <w:lang w:eastAsia="en-IN"/>
        </w:rPr>
        <w:t>R</w:t>
      </w:r>
      <w:r w:rsidRPr="00EF5838">
        <w:rPr>
          <w:rFonts w:ascii="Times New Roman" w:eastAsia="Times New Roman" w:hAnsi="Times New Roman" w:cs="Times New Roman"/>
          <w:sz w:val="20"/>
          <w:szCs w:val="20"/>
          <w:lang w:eastAsia="en-IN"/>
        </w:rPr>
        <w:t xml:space="preserve"> provides wide range of survival distributions and the </w:t>
      </w:r>
      <w:r w:rsidRPr="00EF5838">
        <w:rPr>
          <w:rFonts w:ascii="Courier New" w:eastAsia="Times New Roman" w:hAnsi="Courier New" w:cs="Courier New"/>
          <w:sz w:val="20"/>
          <w:szCs w:val="20"/>
          <w:lang w:eastAsia="en-IN"/>
        </w:rPr>
        <w:t>flexsurv</w:t>
      </w:r>
      <w:r w:rsidRPr="00EF5838">
        <w:rPr>
          <w:rFonts w:ascii="Times New Roman" w:eastAsia="Times New Roman" w:hAnsi="Times New Roman" w:cs="Times New Roman"/>
          <w:sz w:val="20"/>
          <w:szCs w:val="20"/>
          <w:lang w:eastAsia="en-IN"/>
        </w:rPr>
        <w:t xml:space="preserve"> package provides excellent support for parametric modeling. Parametric distributions can support a wide range of hazard shapes including monotonically increasing, monotonically decreasing, arc-shaped, and bathtub-shaped hazards. However, in some cases, even the most flexible distributions such as the generalized gamma distribution may be insufficient. In these cases, flexible parametric models such as splines or fractional polynomials may be needed.</w:t>
      </w:r>
    </w:p>
    <w:p w14:paraId="1594CCAB"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519E"/>
    <w:multiLevelType w:val="multilevel"/>
    <w:tmpl w:val="B83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992BA3"/>
    <w:multiLevelType w:val="multilevel"/>
    <w:tmpl w:val="762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38"/>
    <w:rsid w:val="005A6DE1"/>
    <w:rsid w:val="009B203B"/>
    <w:rsid w:val="00EF5838"/>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0B12"/>
  <w15:chartTrackingRefBased/>
  <w15:docId w15:val="{51ABDAF5-1F75-4FF7-B32F-9A28BF0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81">
      <w:bodyDiv w:val="1"/>
      <w:marLeft w:val="0"/>
      <w:marRight w:val="0"/>
      <w:marTop w:val="0"/>
      <w:marBottom w:val="0"/>
      <w:divBdr>
        <w:top w:val="none" w:sz="0" w:space="0" w:color="auto"/>
        <w:left w:val="none" w:sz="0" w:space="0" w:color="auto"/>
        <w:bottom w:val="none" w:sz="0" w:space="0" w:color="auto"/>
        <w:right w:val="none" w:sz="0" w:space="0" w:color="auto"/>
      </w:divBdr>
      <w:divsChild>
        <w:div w:id="1405643971">
          <w:marLeft w:val="0"/>
          <w:marRight w:val="0"/>
          <w:marTop w:val="0"/>
          <w:marBottom w:val="0"/>
          <w:divBdr>
            <w:top w:val="single" w:sz="6" w:space="4" w:color="DDDDDD"/>
            <w:left w:val="single" w:sz="6" w:space="4" w:color="DDDDDD"/>
            <w:bottom w:val="single" w:sz="6" w:space="4" w:color="DDDDDD"/>
            <w:right w:val="single" w:sz="6" w:space="4" w:color="DDDDDD"/>
          </w:divBdr>
        </w:div>
        <w:div w:id="1403866428">
          <w:marLeft w:val="0"/>
          <w:marRight w:val="0"/>
          <w:marTop w:val="0"/>
          <w:marBottom w:val="0"/>
          <w:divBdr>
            <w:top w:val="none" w:sz="0" w:space="0" w:color="auto"/>
            <w:left w:val="none" w:sz="0" w:space="0" w:color="auto"/>
            <w:bottom w:val="none" w:sz="0" w:space="0" w:color="auto"/>
            <w:right w:val="none" w:sz="0" w:space="0" w:color="auto"/>
          </w:divBdr>
          <w:divsChild>
            <w:div w:id="344938124">
              <w:marLeft w:val="0"/>
              <w:marRight w:val="0"/>
              <w:marTop w:val="0"/>
              <w:marBottom w:val="0"/>
              <w:divBdr>
                <w:top w:val="none" w:sz="0" w:space="0" w:color="auto"/>
                <w:left w:val="none" w:sz="0" w:space="0" w:color="auto"/>
                <w:bottom w:val="none" w:sz="0" w:space="0" w:color="auto"/>
                <w:right w:val="none" w:sz="0" w:space="0" w:color="auto"/>
              </w:divBdr>
            </w:div>
          </w:divsChild>
        </w:div>
        <w:div w:id="246697554">
          <w:marLeft w:val="0"/>
          <w:marRight w:val="0"/>
          <w:marTop w:val="0"/>
          <w:marBottom w:val="0"/>
          <w:divBdr>
            <w:top w:val="none" w:sz="0" w:space="0" w:color="auto"/>
            <w:left w:val="none" w:sz="0" w:space="0" w:color="auto"/>
            <w:bottom w:val="none" w:sz="0" w:space="0" w:color="auto"/>
            <w:right w:val="none" w:sz="0" w:space="0" w:color="auto"/>
          </w:divBdr>
          <w:divsChild>
            <w:div w:id="256139585">
              <w:marLeft w:val="0"/>
              <w:marRight w:val="0"/>
              <w:marTop w:val="0"/>
              <w:marBottom w:val="0"/>
              <w:divBdr>
                <w:top w:val="none" w:sz="0" w:space="0" w:color="auto"/>
                <w:left w:val="none" w:sz="0" w:space="0" w:color="auto"/>
                <w:bottom w:val="none" w:sz="0" w:space="0" w:color="auto"/>
                <w:right w:val="none" w:sz="0" w:space="0" w:color="auto"/>
              </w:divBdr>
            </w:div>
          </w:divsChild>
        </w:div>
        <w:div w:id="268465998">
          <w:marLeft w:val="0"/>
          <w:marRight w:val="0"/>
          <w:marTop w:val="0"/>
          <w:marBottom w:val="0"/>
          <w:divBdr>
            <w:top w:val="none" w:sz="0" w:space="0" w:color="auto"/>
            <w:left w:val="none" w:sz="0" w:space="0" w:color="auto"/>
            <w:bottom w:val="none" w:sz="0" w:space="0" w:color="auto"/>
            <w:right w:val="none" w:sz="0" w:space="0" w:color="auto"/>
          </w:divBdr>
          <w:divsChild>
            <w:div w:id="1210612478">
              <w:marLeft w:val="0"/>
              <w:marRight w:val="0"/>
              <w:marTop w:val="0"/>
              <w:marBottom w:val="0"/>
              <w:divBdr>
                <w:top w:val="none" w:sz="0" w:space="0" w:color="auto"/>
                <w:left w:val="none" w:sz="0" w:space="0" w:color="auto"/>
                <w:bottom w:val="none" w:sz="0" w:space="0" w:color="auto"/>
                <w:right w:val="none" w:sz="0" w:space="0" w:color="auto"/>
              </w:divBdr>
            </w:div>
          </w:divsChild>
        </w:div>
        <w:div w:id="548538160">
          <w:marLeft w:val="0"/>
          <w:marRight w:val="0"/>
          <w:marTop w:val="0"/>
          <w:marBottom w:val="0"/>
          <w:divBdr>
            <w:top w:val="none" w:sz="0" w:space="0" w:color="auto"/>
            <w:left w:val="none" w:sz="0" w:space="0" w:color="auto"/>
            <w:bottom w:val="none" w:sz="0" w:space="0" w:color="auto"/>
            <w:right w:val="none" w:sz="0" w:space="0" w:color="auto"/>
          </w:divBdr>
          <w:divsChild>
            <w:div w:id="238102551">
              <w:marLeft w:val="0"/>
              <w:marRight w:val="0"/>
              <w:marTop w:val="0"/>
              <w:marBottom w:val="0"/>
              <w:divBdr>
                <w:top w:val="none" w:sz="0" w:space="0" w:color="auto"/>
                <w:left w:val="none" w:sz="0" w:space="0" w:color="auto"/>
                <w:bottom w:val="none" w:sz="0" w:space="0" w:color="auto"/>
                <w:right w:val="none" w:sz="0" w:space="0" w:color="auto"/>
              </w:divBdr>
            </w:div>
          </w:divsChild>
        </w:div>
        <w:div w:id="1592815356">
          <w:marLeft w:val="0"/>
          <w:marRight w:val="0"/>
          <w:marTop w:val="0"/>
          <w:marBottom w:val="0"/>
          <w:divBdr>
            <w:top w:val="none" w:sz="0" w:space="0" w:color="auto"/>
            <w:left w:val="none" w:sz="0" w:space="0" w:color="auto"/>
            <w:bottom w:val="none" w:sz="0" w:space="0" w:color="auto"/>
            <w:right w:val="none" w:sz="0" w:space="0" w:color="auto"/>
          </w:divBdr>
          <w:divsChild>
            <w:div w:id="950013945">
              <w:marLeft w:val="0"/>
              <w:marRight w:val="0"/>
              <w:marTop w:val="0"/>
              <w:marBottom w:val="0"/>
              <w:divBdr>
                <w:top w:val="none" w:sz="0" w:space="0" w:color="auto"/>
                <w:left w:val="none" w:sz="0" w:space="0" w:color="auto"/>
                <w:bottom w:val="none" w:sz="0" w:space="0" w:color="auto"/>
                <w:right w:val="none" w:sz="0" w:space="0" w:color="auto"/>
              </w:divBdr>
            </w:div>
          </w:divsChild>
        </w:div>
        <w:div w:id="218057887">
          <w:marLeft w:val="0"/>
          <w:marRight w:val="0"/>
          <w:marTop w:val="0"/>
          <w:marBottom w:val="0"/>
          <w:divBdr>
            <w:top w:val="none" w:sz="0" w:space="0" w:color="auto"/>
            <w:left w:val="none" w:sz="0" w:space="0" w:color="auto"/>
            <w:bottom w:val="none" w:sz="0" w:space="0" w:color="auto"/>
            <w:right w:val="none" w:sz="0" w:space="0" w:color="auto"/>
          </w:divBdr>
          <w:divsChild>
            <w:div w:id="1364818085">
              <w:marLeft w:val="0"/>
              <w:marRight w:val="0"/>
              <w:marTop w:val="0"/>
              <w:marBottom w:val="0"/>
              <w:divBdr>
                <w:top w:val="none" w:sz="0" w:space="0" w:color="auto"/>
                <w:left w:val="none" w:sz="0" w:space="0" w:color="auto"/>
                <w:bottom w:val="none" w:sz="0" w:space="0" w:color="auto"/>
                <w:right w:val="none" w:sz="0" w:space="0" w:color="auto"/>
              </w:divBdr>
            </w:div>
          </w:divsChild>
        </w:div>
        <w:div w:id="524177178">
          <w:marLeft w:val="0"/>
          <w:marRight w:val="0"/>
          <w:marTop w:val="0"/>
          <w:marBottom w:val="0"/>
          <w:divBdr>
            <w:top w:val="none" w:sz="0" w:space="0" w:color="auto"/>
            <w:left w:val="none" w:sz="0" w:space="0" w:color="auto"/>
            <w:bottom w:val="none" w:sz="0" w:space="0" w:color="auto"/>
            <w:right w:val="none" w:sz="0" w:space="0" w:color="auto"/>
          </w:divBdr>
          <w:divsChild>
            <w:div w:id="353270606">
              <w:marLeft w:val="0"/>
              <w:marRight w:val="0"/>
              <w:marTop w:val="0"/>
              <w:marBottom w:val="0"/>
              <w:divBdr>
                <w:top w:val="none" w:sz="0" w:space="0" w:color="auto"/>
                <w:left w:val="none" w:sz="0" w:space="0" w:color="auto"/>
                <w:bottom w:val="none" w:sz="0" w:space="0" w:color="auto"/>
                <w:right w:val="none" w:sz="0" w:space="0" w:color="auto"/>
              </w:divBdr>
            </w:div>
          </w:divsChild>
        </w:div>
        <w:div w:id="689450854">
          <w:marLeft w:val="0"/>
          <w:marRight w:val="0"/>
          <w:marTop w:val="0"/>
          <w:marBottom w:val="0"/>
          <w:divBdr>
            <w:top w:val="none" w:sz="0" w:space="0" w:color="auto"/>
            <w:left w:val="none" w:sz="0" w:space="0" w:color="auto"/>
            <w:bottom w:val="none" w:sz="0" w:space="0" w:color="auto"/>
            <w:right w:val="none" w:sz="0" w:space="0" w:color="auto"/>
          </w:divBdr>
          <w:divsChild>
            <w:div w:id="1178422028">
              <w:marLeft w:val="0"/>
              <w:marRight w:val="0"/>
              <w:marTop w:val="0"/>
              <w:marBottom w:val="0"/>
              <w:divBdr>
                <w:top w:val="none" w:sz="0" w:space="0" w:color="auto"/>
                <w:left w:val="none" w:sz="0" w:space="0" w:color="auto"/>
                <w:bottom w:val="none" w:sz="0" w:space="0" w:color="auto"/>
                <w:right w:val="none" w:sz="0" w:space="0" w:color="auto"/>
              </w:divBdr>
            </w:div>
          </w:divsChild>
        </w:div>
        <w:div w:id="241915536">
          <w:marLeft w:val="0"/>
          <w:marRight w:val="0"/>
          <w:marTop w:val="0"/>
          <w:marBottom w:val="0"/>
          <w:divBdr>
            <w:top w:val="none" w:sz="0" w:space="0" w:color="auto"/>
            <w:left w:val="none" w:sz="0" w:space="0" w:color="auto"/>
            <w:bottom w:val="none" w:sz="0" w:space="0" w:color="auto"/>
            <w:right w:val="none" w:sz="0" w:space="0" w:color="auto"/>
          </w:divBdr>
          <w:divsChild>
            <w:div w:id="1812211458">
              <w:marLeft w:val="0"/>
              <w:marRight w:val="0"/>
              <w:marTop w:val="0"/>
              <w:marBottom w:val="0"/>
              <w:divBdr>
                <w:top w:val="none" w:sz="0" w:space="0" w:color="auto"/>
                <w:left w:val="none" w:sz="0" w:space="0" w:color="auto"/>
                <w:bottom w:val="none" w:sz="0" w:space="0" w:color="auto"/>
                <w:right w:val="none" w:sz="0" w:space="0" w:color="auto"/>
              </w:divBdr>
            </w:div>
          </w:divsChild>
        </w:div>
        <w:div w:id="842089355">
          <w:marLeft w:val="0"/>
          <w:marRight w:val="0"/>
          <w:marTop w:val="0"/>
          <w:marBottom w:val="0"/>
          <w:divBdr>
            <w:top w:val="none" w:sz="0" w:space="0" w:color="auto"/>
            <w:left w:val="none" w:sz="0" w:space="0" w:color="auto"/>
            <w:bottom w:val="none" w:sz="0" w:space="0" w:color="auto"/>
            <w:right w:val="none" w:sz="0" w:space="0" w:color="auto"/>
          </w:divBdr>
          <w:divsChild>
            <w:div w:id="1696492539">
              <w:marLeft w:val="0"/>
              <w:marRight w:val="0"/>
              <w:marTop w:val="0"/>
              <w:marBottom w:val="0"/>
              <w:divBdr>
                <w:top w:val="none" w:sz="0" w:space="0" w:color="auto"/>
                <w:left w:val="none" w:sz="0" w:space="0" w:color="auto"/>
                <w:bottom w:val="none" w:sz="0" w:space="0" w:color="auto"/>
                <w:right w:val="none" w:sz="0" w:space="0" w:color="auto"/>
              </w:divBdr>
            </w:div>
          </w:divsChild>
        </w:div>
        <w:div w:id="1531718504">
          <w:marLeft w:val="0"/>
          <w:marRight w:val="0"/>
          <w:marTop w:val="0"/>
          <w:marBottom w:val="0"/>
          <w:divBdr>
            <w:top w:val="none" w:sz="0" w:space="0" w:color="auto"/>
            <w:left w:val="none" w:sz="0" w:space="0" w:color="auto"/>
            <w:bottom w:val="none" w:sz="0" w:space="0" w:color="auto"/>
            <w:right w:val="none" w:sz="0" w:space="0" w:color="auto"/>
          </w:divBdr>
          <w:divsChild>
            <w:div w:id="880284983">
              <w:marLeft w:val="0"/>
              <w:marRight w:val="0"/>
              <w:marTop w:val="0"/>
              <w:marBottom w:val="0"/>
              <w:divBdr>
                <w:top w:val="none" w:sz="0" w:space="0" w:color="auto"/>
                <w:left w:val="none" w:sz="0" w:space="0" w:color="auto"/>
                <w:bottom w:val="none" w:sz="0" w:space="0" w:color="auto"/>
                <w:right w:val="none" w:sz="0" w:space="0" w:color="auto"/>
              </w:divBdr>
            </w:div>
          </w:divsChild>
        </w:div>
        <w:div w:id="153031095">
          <w:marLeft w:val="0"/>
          <w:marRight w:val="0"/>
          <w:marTop w:val="0"/>
          <w:marBottom w:val="0"/>
          <w:divBdr>
            <w:top w:val="none" w:sz="0" w:space="0" w:color="auto"/>
            <w:left w:val="none" w:sz="0" w:space="0" w:color="auto"/>
            <w:bottom w:val="none" w:sz="0" w:space="0" w:color="auto"/>
            <w:right w:val="none" w:sz="0" w:space="0" w:color="auto"/>
          </w:divBdr>
          <w:divsChild>
            <w:div w:id="1359115673">
              <w:marLeft w:val="0"/>
              <w:marRight w:val="0"/>
              <w:marTop w:val="0"/>
              <w:marBottom w:val="0"/>
              <w:divBdr>
                <w:top w:val="none" w:sz="0" w:space="0" w:color="auto"/>
                <w:left w:val="none" w:sz="0" w:space="0" w:color="auto"/>
                <w:bottom w:val="none" w:sz="0" w:space="0" w:color="auto"/>
                <w:right w:val="none" w:sz="0" w:space="0" w:color="auto"/>
              </w:divBdr>
            </w:div>
          </w:divsChild>
        </w:div>
        <w:div w:id="1005089200">
          <w:marLeft w:val="0"/>
          <w:marRight w:val="0"/>
          <w:marTop w:val="0"/>
          <w:marBottom w:val="0"/>
          <w:divBdr>
            <w:top w:val="none" w:sz="0" w:space="0" w:color="auto"/>
            <w:left w:val="none" w:sz="0" w:space="0" w:color="auto"/>
            <w:bottom w:val="none" w:sz="0" w:space="0" w:color="auto"/>
            <w:right w:val="none" w:sz="0" w:space="0" w:color="auto"/>
          </w:divBdr>
          <w:divsChild>
            <w:div w:id="421727705">
              <w:marLeft w:val="0"/>
              <w:marRight w:val="0"/>
              <w:marTop w:val="0"/>
              <w:marBottom w:val="0"/>
              <w:divBdr>
                <w:top w:val="none" w:sz="0" w:space="0" w:color="auto"/>
                <w:left w:val="none" w:sz="0" w:space="0" w:color="auto"/>
                <w:bottom w:val="none" w:sz="0" w:space="0" w:color="auto"/>
                <w:right w:val="none" w:sz="0" w:space="0" w:color="auto"/>
              </w:divBdr>
            </w:div>
          </w:divsChild>
        </w:div>
        <w:div w:id="1754085667">
          <w:marLeft w:val="0"/>
          <w:marRight w:val="0"/>
          <w:marTop w:val="0"/>
          <w:marBottom w:val="0"/>
          <w:divBdr>
            <w:top w:val="none" w:sz="0" w:space="0" w:color="auto"/>
            <w:left w:val="none" w:sz="0" w:space="0" w:color="auto"/>
            <w:bottom w:val="none" w:sz="0" w:space="0" w:color="auto"/>
            <w:right w:val="none" w:sz="0" w:space="0" w:color="auto"/>
          </w:divBdr>
          <w:divsChild>
            <w:div w:id="668408029">
              <w:marLeft w:val="0"/>
              <w:marRight w:val="0"/>
              <w:marTop w:val="0"/>
              <w:marBottom w:val="0"/>
              <w:divBdr>
                <w:top w:val="none" w:sz="0" w:space="0" w:color="auto"/>
                <w:left w:val="none" w:sz="0" w:space="0" w:color="auto"/>
                <w:bottom w:val="none" w:sz="0" w:space="0" w:color="auto"/>
                <w:right w:val="none" w:sz="0" w:space="0" w:color="auto"/>
              </w:divBdr>
            </w:div>
          </w:divsChild>
        </w:div>
        <w:div w:id="569971931">
          <w:marLeft w:val="0"/>
          <w:marRight w:val="0"/>
          <w:marTop w:val="0"/>
          <w:marBottom w:val="0"/>
          <w:divBdr>
            <w:top w:val="none" w:sz="0" w:space="0" w:color="auto"/>
            <w:left w:val="none" w:sz="0" w:space="0" w:color="auto"/>
            <w:bottom w:val="none" w:sz="0" w:space="0" w:color="auto"/>
            <w:right w:val="none" w:sz="0" w:space="0" w:color="auto"/>
          </w:divBdr>
          <w:divsChild>
            <w:div w:id="5132274">
              <w:marLeft w:val="0"/>
              <w:marRight w:val="0"/>
              <w:marTop w:val="0"/>
              <w:marBottom w:val="0"/>
              <w:divBdr>
                <w:top w:val="none" w:sz="0" w:space="0" w:color="auto"/>
                <w:left w:val="none" w:sz="0" w:space="0" w:color="auto"/>
                <w:bottom w:val="none" w:sz="0" w:space="0" w:color="auto"/>
                <w:right w:val="none" w:sz="0" w:space="0" w:color="auto"/>
              </w:divBdr>
            </w:div>
          </w:divsChild>
        </w:div>
        <w:div w:id="183902236">
          <w:marLeft w:val="0"/>
          <w:marRight w:val="0"/>
          <w:marTop w:val="0"/>
          <w:marBottom w:val="0"/>
          <w:divBdr>
            <w:top w:val="none" w:sz="0" w:space="0" w:color="auto"/>
            <w:left w:val="none" w:sz="0" w:space="0" w:color="auto"/>
            <w:bottom w:val="none" w:sz="0" w:space="0" w:color="auto"/>
            <w:right w:val="none" w:sz="0" w:space="0" w:color="auto"/>
          </w:divBdr>
          <w:divsChild>
            <w:div w:id="603155110">
              <w:marLeft w:val="0"/>
              <w:marRight w:val="0"/>
              <w:marTop w:val="0"/>
              <w:marBottom w:val="0"/>
              <w:divBdr>
                <w:top w:val="none" w:sz="0" w:space="0" w:color="auto"/>
                <w:left w:val="none" w:sz="0" w:space="0" w:color="auto"/>
                <w:bottom w:val="none" w:sz="0" w:space="0" w:color="auto"/>
                <w:right w:val="none" w:sz="0" w:space="0" w:color="auto"/>
              </w:divBdr>
            </w:div>
          </w:divsChild>
        </w:div>
        <w:div w:id="1583878684">
          <w:marLeft w:val="0"/>
          <w:marRight w:val="0"/>
          <w:marTop w:val="0"/>
          <w:marBottom w:val="0"/>
          <w:divBdr>
            <w:top w:val="none" w:sz="0" w:space="0" w:color="auto"/>
            <w:left w:val="none" w:sz="0" w:space="0" w:color="auto"/>
            <w:bottom w:val="none" w:sz="0" w:space="0" w:color="auto"/>
            <w:right w:val="none" w:sz="0" w:space="0" w:color="auto"/>
          </w:divBdr>
          <w:divsChild>
            <w:div w:id="1407797392">
              <w:marLeft w:val="0"/>
              <w:marRight w:val="0"/>
              <w:marTop w:val="0"/>
              <w:marBottom w:val="0"/>
              <w:divBdr>
                <w:top w:val="none" w:sz="0" w:space="0" w:color="auto"/>
                <w:left w:val="none" w:sz="0" w:space="0" w:color="auto"/>
                <w:bottom w:val="none" w:sz="0" w:space="0" w:color="auto"/>
                <w:right w:val="none" w:sz="0" w:space="0" w:color="auto"/>
              </w:divBdr>
            </w:div>
          </w:divsChild>
        </w:div>
        <w:div w:id="23527843">
          <w:marLeft w:val="0"/>
          <w:marRight w:val="0"/>
          <w:marTop w:val="0"/>
          <w:marBottom w:val="0"/>
          <w:divBdr>
            <w:top w:val="none" w:sz="0" w:space="0" w:color="auto"/>
            <w:left w:val="none" w:sz="0" w:space="0" w:color="auto"/>
            <w:bottom w:val="none" w:sz="0" w:space="0" w:color="auto"/>
            <w:right w:val="none" w:sz="0" w:space="0" w:color="auto"/>
          </w:divBdr>
          <w:divsChild>
            <w:div w:id="1528526699">
              <w:marLeft w:val="0"/>
              <w:marRight w:val="0"/>
              <w:marTop w:val="0"/>
              <w:marBottom w:val="0"/>
              <w:divBdr>
                <w:top w:val="none" w:sz="0" w:space="0" w:color="auto"/>
                <w:left w:val="none" w:sz="0" w:space="0" w:color="auto"/>
                <w:bottom w:val="none" w:sz="0" w:space="0" w:color="auto"/>
                <w:right w:val="none" w:sz="0" w:space="0" w:color="auto"/>
              </w:divBdr>
            </w:div>
          </w:divsChild>
        </w:div>
        <w:div w:id="634986317">
          <w:marLeft w:val="0"/>
          <w:marRight w:val="0"/>
          <w:marTop w:val="0"/>
          <w:marBottom w:val="0"/>
          <w:divBdr>
            <w:top w:val="none" w:sz="0" w:space="0" w:color="auto"/>
            <w:left w:val="none" w:sz="0" w:space="0" w:color="auto"/>
            <w:bottom w:val="none" w:sz="0" w:space="0" w:color="auto"/>
            <w:right w:val="none" w:sz="0" w:space="0" w:color="auto"/>
          </w:divBdr>
          <w:divsChild>
            <w:div w:id="1506167174">
              <w:marLeft w:val="0"/>
              <w:marRight w:val="0"/>
              <w:marTop w:val="0"/>
              <w:marBottom w:val="0"/>
              <w:divBdr>
                <w:top w:val="none" w:sz="0" w:space="0" w:color="auto"/>
                <w:left w:val="none" w:sz="0" w:space="0" w:color="auto"/>
                <w:bottom w:val="none" w:sz="0" w:space="0" w:color="auto"/>
                <w:right w:val="none" w:sz="0" w:space="0" w:color="auto"/>
              </w:divBdr>
            </w:div>
          </w:divsChild>
        </w:div>
        <w:div w:id="1574437088">
          <w:marLeft w:val="0"/>
          <w:marRight w:val="0"/>
          <w:marTop w:val="0"/>
          <w:marBottom w:val="0"/>
          <w:divBdr>
            <w:top w:val="none" w:sz="0" w:space="0" w:color="auto"/>
            <w:left w:val="none" w:sz="0" w:space="0" w:color="auto"/>
            <w:bottom w:val="none" w:sz="0" w:space="0" w:color="auto"/>
            <w:right w:val="none" w:sz="0" w:space="0" w:color="auto"/>
          </w:divBdr>
          <w:divsChild>
            <w:div w:id="1588415242">
              <w:marLeft w:val="0"/>
              <w:marRight w:val="0"/>
              <w:marTop w:val="0"/>
              <w:marBottom w:val="0"/>
              <w:divBdr>
                <w:top w:val="none" w:sz="0" w:space="0" w:color="auto"/>
                <w:left w:val="none" w:sz="0" w:space="0" w:color="auto"/>
                <w:bottom w:val="none" w:sz="0" w:space="0" w:color="auto"/>
                <w:right w:val="none" w:sz="0" w:space="0" w:color="auto"/>
              </w:divBdr>
            </w:div>
          </w:divsChild>
        </w:div>
        <w:div w:id="963925994">
          <w:marLeft w:val="0"/>
          <w:marRight w:val="0"/>
          <w:marTop w:val="0"/>
          <w:marBottom w:val="0"/>
          <w:divBdr>
            <w:top w:val="none" w:sz="0" w:space="0" w:color="auto"/>
            <w:left w:val="none" w:sz="0" w:space="0" w:color="auto"/>
            <w:bottom w:val="none" w:sz="0" w:space="0" w:color="auto"/>
            <w:right w:val="none" w:sz="0" w:space="0" w:color="auto"/>
          </w:divBdr>
          <w:divsChild>
            <w:div w:id="663240753">
              <w:marLeft w:val="0"/>
              <w:marRight w:val="0"/>
              <w:marTop w:val="0"/>
              <w:marBottom w:val="0"/>
              <w:divBdr>
                <w:top w:val="none" w:sz="0" w:space="0" w:color="auto"/>
                <w:left w:val="none" w:sz="0" w:space="0" w:color="auto"/>
                <w:bottom w:val="none" w:sz="0" w:space="0" w:color="auto"/>
                <w:right w:val="none" w:sz="0" w:space="0" w:color="auto"/>
              </w:divBdr>
            </w:div>
          </w:divsChild>
        </w:div>
        <w:div w:id="1574656923">
          <w:marLeft w:val="0"/>
          <w:marRight w:val="0"/>
          <w:marTop w:val="0"/>
          <w:marBottom w:val="0"/>
          <w:divBdr>
            <w:top w:val="none" w:sz="0" w:space="0" w:color="auto"/>
            <w:left w:val="none" w:sz="0" w:space="0" w:color="auto"/>
            <w:bottom w:val="none" w:sz="0" w:space="0" w:color="auto"/>
            <w:right w:val="none" w:sz="0" w:space="0" w:color="auto"/>
          </w:divBdr>
          <w:divsChild>
            <w:div w:id="1221869698">
              <w:marLeft w:val="0"/>
              <w:marRight w:val="0"/>
              <w:marTop w:val="0"/>
              <w:marBottom w:val="0"/>
              <w:divBdr>
                <w:top w:val="none" w:sz="0" w:space="0" w:color="auto"/>
                <w:left w:val="none" w:sz="0" w:space="0" w:color="auto"/>
                <w:bottom w:val="none" w:sz="0" w:space="0" w:color="auto"/>
                <w:right w:val="none" w:sz="0" w:space="0" w:color="auto"/>
              </w:divBdr>
            </w:div>
          </w:divsChild>
        </w:div>
        <w:div w:id="1951275882">
          <w:marLeft w:val="0"/>
          <w:marRight w:val="0"/>
          <w:marTop w:val="0"/>
          <w:marBottom w:val="0"/>
          <w:divBdr>
            <w:top w:val="none" w:sz="0" w:space="0" w:color="auto"/>
            <w:left w:val="none" w:sz="0" w:space="0" w:color="auto"/>
            <w:bottom w:val="none" w:sz="0" w:space="0" w:color="auto"/>
            <w:right w:val="none" w:sz="0" w:space="0" w:color="auto"/>
          </w:divBdr>
          <w:divsChild>
            <w:div w:id="1826824804">
              <w:marLeft w:val="0"/>
              <w:marRight w:val="0"/>
              <w:marTop w:val="0"/>
              <w:marBottom w:val="0"/>
              <w:divBdr>
                <w:top w:val="none" w:sz="0" w:space="0" w:color="auto"/>
                <w:left w:val="none" w:sz="0" w:space="0" w:color="auto"/>
                <w:bottom w:val="none" w:sz="0" w:space="0" w:color="auto"/>
                <w:right w:val="none" w:sz="0" w:space="0" w:color="auto"/>
              </w:divBdr>
            </w:div>
          </w:divsChild>
        </w:div>
        <w:div w:id="1613979388">
          <w:marLeft w:val="0"/>
          <w:marRight w:val="0"/>
          <w:marTop w:val="0"/>
          <w:marBottom w:val="0"/>
          <w:divBdr>
            <w:top w:val="none" w:sz="0" w:space="0" w:color="auto"/>
            <w:left w:val="none" w:sz="0" w:space="0" w:color="auto"/>
            <w:bottom w:val="none" w:sz="0" w:space="0" w:color="auto"/>
            <w:right w:val="none" w:sz="0" w:space="0" w:color="auto"/>
          </w:divBdr>
          <w:divsChild>
            <w:div w:id="1195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ortional_hazards_mode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celerated_failure_time_mode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Proportional_hazards_mode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3552</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2021-11-18T07:29:00Z</dcterms:created>
  <dcterms:modified xsi:type="dcterms:W3CDTF">2022-01-31T05:09:00Z</dcterms:modified>
</cp:coreProperties>
</file>