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E820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will investigate using Principal Components as part of a momentum strategy.</w:t>
      </w:r>
    </w:p>
    <w:p w14:paraId="1C2AD317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I ran across a </w:t>
      </w:r>
      <w:hyperlink r:id="rId4" w:tgtFrame="_blank" w:history="1">
        <w:r w:rsidRPr="009735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 from David Varadi</w:t>
        </w:r>
      </w:hyperlink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thought I’d further investigate and translate into code I can explicitly display (as David Varadi doesn’t). Of course, as David Varadi is a quantitative research director with whom I’ve done good work with in the past, I find that trying to investigate his ideas is worth the time spent.</w:t>
      </w:r>
    </w:p>
    <w:p w14:paraId="31F0ED6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So, here’s the basic idea: in an allegedly balanced universe, containing both aggressive (e.g. equity asset class ETFs) assets and defensive assets (e.g. fixed income asset class ETFs), that principal component analysis, a cornerstone in machine learning, should have some effectiveness at creating an effective portfolio.</w:t>
      </w:r>
    </w:p>
    <w:p w14:paraId="02D140CC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I decided to put that idea to the test with the following algorithm:</w:t>
      </w:r>
    </w:p>
    <w:p w14:paraId="30AF8F8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the same assets that David Varadi does, I first use a rolling window (between 6-18 months) to create principal components. Making sure that the SPY half of the loadings is always positive (that is, if the loading for SPY is negative, multiply the first PC by -1, as that’s the PC we use), and then create two portfolios–one that’s comprised of the normalized positive weights of the first PC, and one that’s comprised of the negative half.</w:t>
      </w:r>
    </w:p>
    <w:p w14:paraId="5A22EBF7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every month, I use some momentum lookback period (1, 3, 6, 10, and 12 months), and invest in the portfolio that performed best over that period for the next month, and repeat.</w:t>
      </w:r>
    </w:p>
    <w:p w14:paraId="08C3481D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source code to do that: (and for those who have difficulty following, I highly recommend James Picerno’s </w:t>
      </w:r>
      <w:hyperlink r:id="rId5" w:tgtFrame="_blank" w:history="1">
        <w:r w:rsidRPr="009735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Quantitative Investment Portfolio Analytics in R</w:t>
        </w:r>
      </w:hyperlink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book.</w:t>
      </w:r>
    </w:p>
    <w:p w14:paraId="46B22A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require(PerformanceAnalytics)</w:t>
      </w:r>
    </w:p>
    <w:p w14:paraId="3C2098A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require(quantmod)</w:t>
      </w:r>
    </w:p>
    <w:p w14:paraId="498DB9A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require(stats)</w:t>
      </w:r>
    </w:p>
    <w:p w14:paraId="5D190EB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require(xts)</w:t>
      </w:r>
    </w:p>
    <w:p w14:paraId="25567FC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02A4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symbols &lt;- c("SPY", "EFA", "EEM", "DBC", "HYG", "GLD", "IEF", "TLT")  </w:t>
      </w:r>
    </w:p>
    <w:p w14:paraId="2413398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3491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# get free data from yahoo</w:t>
      </w:r>
    </w:p>
    <w:p w14:paraId="7D68B0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rets &lt;- list()</w:t>
      </w:r>
    </w:p>
    <w:p w14:paraId="343BBBF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getSymbols(symbols, src = 'yahoo', from = '1990-12-31')</w:t>
      </w:r>
    </w:p>
    <w:p w14:paraId="72A6B1E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for(i in 1:length(symbols)) {</w:t>
      </w:r>
    </w:p>
    <w:p w14:paraId="00037CC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returns &lt;- Return.calculate(Ad(get(symbols[i])))</w:t>
      </w:r>
    </w:p>
    <w:p w14:paraId="20D5B49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colnames(returns) &lt;- symbols[i]</w:t>
      </w:r>
    </w:p>
    <w:p w14:paraId="417D82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rets[[i]] &lt;- returns</w:t>
      </w:r>
    </w:p>
    <w:p w14:paraId="06F1722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B47DF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rets &lt;- na.omit(do.call(cbind, rets2))</w:t>
      </w:r>
    </w:p>
    <w:p w14:paraId="6251FB2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1CA91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# 12 month PC rolling PC window, 3 month momentum window</w:t>
      </w:r>
    </w:p>
    <w:p w14:paraId="2C907BE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pcPlusMinus &lt;- function(rets, pcWindow = 12, momWindow = 3) {</w:t>
      </w:r>
    </w:p>
    <w:p w14:paraId="3DED1F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ep &lt;- endpoints(rets)</w:t>
      </w:r>
    </w:p>
    <w:p w14:paraId="4CCB796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FC361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wtsPc1Plus &lt;- NULL</w:t>
      </w:r>
    </w:p>
    <w:p w14:paraId="4AB2C3A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wtsPc1Minus &lt;- NULL</w:t>
      </w:r>
    </w:p>
    <w:p w14:paraId="4708AE3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31057F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 in 1:(length(ep)-pcWindow)) {</w:t>
      </w:r>
    </w:p>
    <w:p w14:paraId="150A518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subset of returns</w:t>
      </w:r>
    </w:p>
    <w:p w14:paraId="47E587F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returnSubset &lt;- rets[(ep[i]+1):(ep[i+pcWindow])]</w:t>
      </w:r>
    </w:p>
    <w:p w14:paraId="4B9F1C1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204E7F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PCA, get first PC (I.E. pc1)</w:t>
      </w:r>
    </w:p>
    <w:p w14:paraId="014380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pcs &lt;- prcomp(returnSubset) </w:t>
      </w:r>
    </w:p>
    <w:p w14:paraId="15B0969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firstPc &lt;- pcs[[2]][,1]</w:t>
      </w:r>
    </w:p>
    <w:p w14:paraId="328E8E4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1F41FB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make sure SPY always has a positive loading</w:t>
      </w:r>
    </w:p>
    <w:p w14:paraId="2D71148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otherwise, SPY and related assets may have negative loadings sometimes</w:t>
      </w:r>
    </w:p>
    <w:p w14:paraId="662DFA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positive loadings other times, and creates chaotic return series</w:t>
      </w:r>
    </w:p>
    <w:p w14:paraId="0CDD41A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F2CB63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if(firstPc['SPY'] &lt; 0) {</w:t>
      </w:r>
    </w:p>
    <w:p w14:paraId="1157B40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firstPc &lt;- firstPc * -1</w:t>
      </w:r>
    </w:p>
    <w:p w14:paraId="6CA1312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E868A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502EE3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vector for negative values of pc1</w:t>
      </w:r>
    </w:p>
    <w:p w14:paraId="4C7A567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wtsMinus &lt;- firstPc * -1</w:t>
      </w:r>
    </w:p>
    <w:p w14:paraId="0C5468A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wtsMinus[wtsMinus &lt; 0] &lt;- 0</w:t>
      </w:r>
    </w:p>
    <w:p w14:paraId="1D3EA7F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wtsMinus &lt;- wtsMinus/(sum(wtsMinus)+1e-16) # in case zero weights</w:t>
      </w:r>
    </w:p>
    <w:p w14:paraId="07BE0FB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wtsMinus &lt;- xts(t(wtsMinus), order.by=last(index(returnSubset)))</w:t>
      </w:r>
    </w:p>
    <w:p w14:paraId="216D8B5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wtsPc1Minus[[i]] &lt;- wtsMinus</w:t>
      </w:r>
    </w:p>
    <w:p w14:paraId="02865FD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8189F6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create weight vector for positive values of pc1</w:t>
      </w:r>
    </w:p>
    <w:p w14:paraId="63A78DB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wtsPlus &lt;- firstPc</w:t>
      </w:r>
    </w:p>
    <w:p w14:paraId="2DF4232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wtsPlus[wtsPlus &lt; 0] &lt;- 0</w:t>
      </w:r>
    </w:p>
    <w:p w14:paraId="09F59D8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wtsPlus &lt;- wtsPlus/(sum(wtsPlus)+1e-16)</w:t>
      </w:r>
    </w:p>
    <w:p w14:paraId="2EA948B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wtsPlus &lt;- xts(t(wtsPlus), order.by=last(index(returnSubset)))</w:t>
      </w:r>
    </w:p>
    <w:p w14:paraId="2F586EC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wtsPc1Plus[[i]] &lt;- wtsPlus</w:t>
      </w:r>
    </w:p>
    <w:p w14:paraId="6E9F76C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9C94FE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00CD94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combine positive and negative PC1 weights</w:t>
      </w:r>
    </w:p>
    <w:p w14:paraId="37F815C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wtsPc1Minus &lt;- do.call(rbind, wtsPc1Minus)</w:t>
      </w:r>
    </w:p>
    <w:p w14:paraId="4368CB9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wtsPc1Plus &lt;- do.call(rbind, wtsPc1Plus)</w:t>
      </w:r>
    </w:p>
    <w:p w14:paraId="265808B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A536E0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return of PC portfolios</w:t>
      </w:r>
    </w:p>
    <w:p w14:paraId="0DB0238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pc1MinusRets &lt;- Return.portfolio(R = rets, weights = wtsPc1Minus)</w:t>
      </w:r>
    </w:p>
    <w:p w14:paraId="39500C52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pc1PlusRets &lt;- Return.portfolio(R = rets, weights = wtsPc1Plus)</w:t>
      </w:r>
    </w:p>
    <w:p w14:paraId="4EF57F8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354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combine them</w:t>
      </w:r>
    </w:p>
    <w:p w14:paraId="03A83566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combine &lt;-na.omit(cbind(pc1PlusRets, pc1MinusRets))</w:t>
      </w:r>
    </w:p>
    <w:p w14:paraId="6715318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colnames(combine) &lt;- c("PCplus", "PCminus")</w:t>
      </w:r>
    </w:p>
    <w:p w14:paraId="331A70C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865162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momEp &lt;- endpoints(combine)</w:t>
      </w:r>
    </w:p>
    <w:p w14:paraId="790F8ED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momWts &lt;- NULL</w:t>
      </w:r>
    </w:p>
    <w:p w14:paraId="64E6A7B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for(i in 1:(length(momEp)-momWindow)){</w:t>
      </w:r>
    </w:p>
    <w:p w14:paraId="7FBBFAF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momSubset &lt;- combine[(momEp[i]+1):(momEp[i+momWindow])]</w:t>
      </w:r>
    </w:p>
    <w:p w14:paraId="699751A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momentums &lt;- Return.cumulative(momSubset)</w:t>
      </w:r>
    </w:p>
    <w:p w14:paraId="6D2587E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momWts[[i]] &lt;- xts(momentums==max(momentums), order.by=last(index(momSubset)))</w:t>
      </w:r>
    </w:p>
    <w:p w14:paraId="53DBA73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ABFF51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momWts &lt;- do.call(rbind, momWts)</w:t>
      </w:r>
    </w:p>
    <w:p w14:paraId="5D6EA1B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83DBFE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Return.portfolio(R = combine, weights = momWts)</w:t>
      </w:r>
    </w:p>
    <w:p w14:paraId="73F8722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colnames(out) &lt;- paste("PCwin", pcWindow, "MomWin", momWindow, sep="_")</w:t>
      </w:r>
    </w:p>
    <w:p w14:paraId="1D4170C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return(list(out, wtsPc1Minus, wtsPc1Plus, combine))</w:t>
      </w:r>
    </w:p>
    <w:p w14:paraId="72907E4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4A1B0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C9BD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4347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pcWindows &lt;- c(6, 9, 12, 15, 18)</w:t>
      </w:r>
    </w:p>
    <w:p w14:paraId="2D8DA880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momWindows &lt;- c(1, 3, 6, 10, 12)</w:t>
      </w:r>
    </w:p>
    <w:p w14:paraId="2E86063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A99CB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permutes &lt;- expand.grid(pcWindows, momWindows)</w:t>
      </w:r>
    </w:p>
    <w:p w14:paraId="13EEC4F2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639E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stratStats &lt;- function(rets) {</w:t>
      </w:r>
    </w:p>
    <w:p w14:paraId="6BE913E9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 &lt;- rbind(table.AnnualizedReturns(rets), maxDrawdown(rets))</w:t>
      </w:r>
    </w:p>
    <w:p w14:paraId="67ADB1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stats[5,] &lt;- stats[1,]/stats[4,]</w:t>
      </w:r>
    </w:p>
    <w:p w14:paraId="0D72FBF8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stats[6,] &lt;- stats[1,]/UlcerIndex(rets)</w:t>
      </w:r>
    </w:p>
    <w:p w14:paraId="0F390CCC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rownames(stats)[4] &lt;- "Worst Drawdown"</w:t>
      </w:r>
    </w:p>
    <w:p w14:paraId="1AACAE53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rownames(stats)[5] &lt;- "Calmar Ratio"</w:t>
      </w:r>
    </w:p>
    <w:p w14:paraId="6DA8732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rownames(stats)[6] &lt;- "Ulcer Performance Index"</w:t>
      </w:r>
    </w:p>
    <w:p w14:paraId="72577B0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return(stats)</w:t>
      </w:r>
    </w:p>
    <w:p w14:paraId="2118D614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D978D5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D6CBA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results &lt;- NULL</w:t>
      </w:r>
    </w:p>
    <w:p w14:paraId="3241043F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for(i in 1:nrow(permutes)) {</w:t>
      </w:r>
    </w:p>
    <w:p w14:paraId="034CB537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tmp &lt;- pcPlusMinus(rets = rets, pcWindow = permutes$Var1[i], momWindow = permutes$Var2[i])</w:t>
      </w:r>
    </w:p>
    <w:p w14:paraId="30D0A7AB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results[[i]] &lt;- tmp[[1]]</w:t>
      </w:r>
    </w:p>
    <w:p w14:paraId="4FBD16C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20927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results &lt;- do.call(cbind, results)</w:t>
      </w:r>
    </w:p>
    <w:p w14:paraId="10A07AFD" w14:textId="77777777" w:rsidR="00973564" w:rsidRPr="00973564" w:rsidRDefault="00973564" w:rsidP="00973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564">
        <w:rPr>
          <w:rFonts w:ascii="Courier New" w:eastAsia="Times New Roman" w:hAnsi="Courier New" w:cs="Courier New"/>
          <w:sz w:val="20"/>
          <w:szCs w:val="20"/>
          <w:lang w:eastAsia="en-IN"/>
        </w:rPr>
        <w:t>stats &lt;- stratStats(results)</w:t>
      </w:r>
    </w:p>
    <w:p w14:paraId="779AEA83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cursory look at the results, it seems the performance is fairly miserable with my implementation, even by the standards of tactical asset allocation models (the good ones have a Calmar and Sharpe Ratio above 1)</w:t>
      </w:r>
    </w:p>
    <w:p w14:paraId="0D23A30C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histograms of the Calmar and Sharpe ratios.</w:t>
      </w:r>
    </w:p>
    <w:p w14:paraId="2B32B5CA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6040FB" wp14:editId="21A9C20A">
            <wp:extent cx="4343400" cy="2926080"/>
            <wp:effectExtent l="0" t="0" r="0" b="7620"/>
            <wp:docPr id="4" name="Picture 4" descr="PCCalmar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CalmarHist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885BFD8" wp14:editId="0E1D7C84">
            <wp:extent cx="4343400" cy="2926080"/>
            <wp:effectExtent l="0" t="0" r="0" b="7620"/>
            <wp:docPr id="5" name="Picture 5" descr="PCSharpe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CSharpe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C339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values are generally too low for my liking. Here’s a screenshot of the table of all 25 results.</w:t>
      </w:r>
    </w:p>
    <w:p w14:paraId="41724E6E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3E8C87" wp14:editId="26A1CFD7">
            <wp:extent cx="4335780" cy="2354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9AF1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my strategy of choosing which portfolio to hold is different from David Varadi’s (momentum instead of whether or not the aggressive portfolio is above its 200-day moving average), there are numerous studies that show these two methods are closely related, yet the results feel starkly different (and worse) compared to his site.</w:t>
      </w:r>
    </w:p>
    <w:p w14:paraId="453FE63E" w14:textId="5976460A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I’d certainly be willing to entertain suggestions as to how to improve the process, which will hopefully create some more meaningful results</w:t>
      </w:r>
      <w:r w:rsidR="00B03A4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70B86F" w14:textId="77777777" w:rsidR="00973564" w:rsidRPr="00973564" w:rsidRDefault="00973564" w:rsidP="0097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73564">
        <w:rPr>
          <w:rFonts w:ascii="Times New Roman" w:eastAsia="Times New Roman" w:hAnsi="Times New Roman" w:cs="Times New Roman"/>
          <w:sz w:val="20"/>
          <w:szCs w:val="20"/>
          <w:lang w:eastAsia="en-IN"/>
        </w:rPr>
        <w:t>Thanks for reading.</w:t>
      </w:r>
    </w:p>
    <w:p w14:paraId="0BCD97FC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64"/>
    <w:rsid w:val="00973564"/>
    <w:rsid w:val="009A0A97"/>
    <w:rsid w:val="00B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43AA"/>
  <w15:chartTrackingRefBased/>
  <w15:docId w15:val="{8EBC4E32-06DA-424D-B520-EDFC4730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mazon.com/Quantitative-Investment-Portfolio-Analytics-Introduction/dp/198758351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analytics.wordpress.com/2018/08/21/2d-asset-allocation-using-pca-part-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2021-12-11T09:27:00Z</dcterms:created>
  <dcterms:modified xsi:type="dcterms:W3CDTF">2022-01-17T08:35:00Z</dcterms:modified>
</cp:coreProperties>
</file>