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C564"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In August of 2003 Thomas Lumley added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to </w:t>
      </w:r>
      <w:hyperlink r:id="rId5" w:tgtFrame="_blank" w:history="1">
        <w:r w:rsidRPr="00475018">
          <w:rPr>
            <w:rFonts w:ascii="Courier New" w:eastAsia="Times New Roman" w:hAnsi="Courier New" w:cs="Courier New"/>
            <w:sz w:val="20"/>
            <w:szCs w:val="20"/>
            <w:lang w:eastAsia="en-IN"/>
          </w:rPr>
          <w:t>R</w:t>
        </w:r>
      </w:hyperlink>
      <w:r w:rsidRPr="00475018">
        <w:rPr>
          <w:rFonts w:ascii="Times New Roman" w:eastAsia="Times New Roman" w:hAnsi="Times New Roman" w:cs="Times New Roman"/>
          <w:sz w:val="20"/>
          <w:szCs w:val="20"/>
          <w:lang w:eastAsia="en-IN"/>
        </w:rPr>
        <w:t xml:space="preserve"> 1.8.1. This gave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and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users an explicit Lisp-style quasiquotation capability.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and quasiquotation are actually quite powerful. Professor Thomas Lumley should get, and should continue to receive, a lot of credit and thanks for introducing the concept into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w:t>
      </w:r>
    </w:p>
    <w:p w14:paraId="182D7C26"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In fact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is already powerful enough to build a version of </w:t>
      </w:r>
      <w:r w:rsidRPr="00475018">
        <w:rPr>
          <w:rFonts w:ascii="Courier New" w:eastAsia="Times New Roman" w:hAnsi="Courier New" w:cs="Courier New"/>
          <w:sz w:val="20"/>
          <w:szCs w:val="20"/>
          <w:lang w:eastAsia="en-IN"/>
        </w:rPr>
        <w:t>dplyr 0.5.0</w:t>
      </w:r>
      <w:r w:rsidRPr="00475018">
        <w:rPr>
          <w:rFonts w:ascii="Times New Roman" w:eastAsia="Times New Roman" w:hAnsi="Times New Roman" w:cs="Times New Roman"/>
          <w:sz w:val="20"/>
          <w:szCs w:val="20"/>
          <w:lang w:eastAsia="en-IN"/>
        </w:rPr>
        <w:t xml:space="preserve"> with quasiquotation semantics quite close (from a user perspective) to what is now claimed in </w:t>
      </w:r>
      <w:r w:rsidRPr="00475018">
        <w:rPr>
          <w:rFonts w:ascii="Courier New" w:eastAsia="Times New Roman" w:hAnsi="Courier New" w:cs="Courier New"/>
          <w:sz w:val="20"/>
          <w:szCs w:val="20"/>
          <w:lang w:eastAsia="en-IN"/>
        </w:rPr>
        <w:t>tidyeval</w:t>
      </w:r>
      <w:r w:rsidRPr="00475018">
        <w:rPr>
          <w:rFonts w:ascii="Times New Roman" w:eastAsia="Times New Roman" w:hAnsi="Times New Roman" w:cs="Times New Roman"/>
          <w:sz w:val="20"/>
          <w:szCs w:val="20"/>
          <w:lang w:eastAsia="en-IN"/>
        </w:rPr>
        <w:t>/</w:t>
      </w:r>
      <w:r w:rsidRPr="00475018">
        <w:rPr>
          <w:rFonts w:ascii="Courier New" w:eastAsia="Times New Roman" w:hAnsi="Courier New" w:cs="Courier New"/>
          <w:sz w:val="20"/>
          <w:szCs w:val="20"/>
          <w:lang w:eastAsia="en-IN"/>
        </w:rPr>
        <w:t>rlang</w:t>
      </w:r>
      <w:r w:rsidRPr="00475018">
        <w:rPr>
          <w:rFonts w:ascii="Times New Roman" w:eastAsia="Times New Roman" w:hAnsi="Times New Roman" w:cs="Times New Roman"/>
          <w:sz w:val="20"/>
          <w:szCs w:val="20"/>
          <w:lang w:eastAsia="en-IN"/>
        </w:rPr>
        <w:t>.</w:t>
      </w:r>
    </w:p>
    <w:p w14:paraId="24008A1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Let’s take a look at that.</w:t>
      </w:r>
    </w:p>
    <w:p w14:paraId="43BE1E0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For our example problem: suppose we wanted to average a ratio of columns by groups, but want to write code so that what columns are to be used is specified elsewhere (perhaps coming in as function arguments). You would write code such as the following in </w:t>
      </w:r>
      <w:r w:rsidRPr="00475018">
        <w:rPr>
          <w:rFonts w:ascii="Courier New" w:eastAsia="Times New Roman" w:hAnsi="Courier New" w:cs="Courier New"/>
          <w:sz w:val="20"/>
          <w:szCs w:val="20"/>
          <w:lang w:eastAsia="en-IN"/>
        </w:rPr>
        <w:t>dplyr 0.7.*</w:t>
      </w:r>
      <w:r w:rsidRPr="00475018">
        <w:rPr>
          <w:rFonts w:ascii="Times New Roman" w:eastAsia="Times New Roman" w:hAnsi="Times New Roman" w:cs="Times New Roman"/>
          <w:sz w:val="20"/>
          <w:szCs w:val="20"/>
          <w:lang w:eastAsia="en-IN"/>
        </w:rPr>
        <w:t>:</w:t>
      </w:r>
    </w:p>
    <w:p w14:paraId="6F92903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suppressPackageStartupMessages(library("dplyr"))</w:t>
      </w:r>
    </w:p>
    <w:p w14:paraId="64B3651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B39B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define our parameters</w:t>
      </w:r>
    </w:p>
    <w:p w14:paraId="6821169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pretend these come from far away</w:t>
      </w:r>
    </w:p>
    <w:p w14:paraId="586B754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or as function arguments.</w:t>
      </w:r>
    </w:p>
    <w:p w14:paraId="2D7F961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group_nm &lt;- as.name("am")</w:t>
      </w:r>
    </w:p>
    <w:p w14:paraId="12ACB92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num_nm &lt;- as.name("hp")</w:t>
      </w:r>
    </w:p>
    <w:p w14:paraId="0748091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den_nm &lt;- as.name("cyl")</w:t>
      </w:r>
    </w:p>
    <w:p w14:paraId="7191EE8D"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derived_nm &lt;- as.name(paste0(num_nm, "_per_", den_nm))</w:t>
      </w:r>
    </w:p>
    <w:p w14:paraId="06799BB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mean_nm &lt;- as.name(paste0("mean_", derived_nm))</w:t>
      </w:r>
    </w:p>
    <w:p w14:paraId="0256DAE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count_nm &lt;- as.name("group_count")</w:t>
      </w:r>
    </w:p>
    <w:p w14:paraId="59187E39"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And then you would execute something like the following. We are not running the following block (so there is no result), as we have </w:t>
      </w:r>
      <w:r w:rsidRPr="00475018">
        <w:rPr>
          <w:rFonts w:ascii="Courier New" w:eastAsia="Times New Roman" w:hAnsi="Courier New" w:cs="Courier New"/>
          <w:sz w:val="20"/>
          <w:szCs w:val="20"/>
          <w:lang w:eastAsia="en-IN"/>
        </w:rPr>
        <w:t>dplyr 0.5.0</w:t>
      </w:r>
      <w:r w:rsidRPr="00475018">
        <w:rPr>
          <w:rFonts w:ascii="Times New Roman" w:eastAsia="Times New Roman" w:hAnsi="Times New Roman" w:cs="Times New Roman"/>
          <w:sz w:val="20"/>
          <w:szCs w:val="20"/>
          <w:lang w:eastAsia="en-IN"/>
        </w:rPr>
        <w:t xml:space="preserve"> installed, which does not yet accept the quasiquotation notation.</w:t>
      </w:r>
    </w:p>
    <w:p w14:paraId="1BAF344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apply a parameterized pipeline using rlang::!!</w:t>
      </w:r>
    </w:p>
    <w:p w14:paraId="2B75D4B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mtcars %&gt;%</w:t>
      </w:r>
    </w:p>
    <w:p w14:paraId="626E8EE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group_by(!!group_nm) %&gt;%</w:t>
      </w:r>
    </w:p>
    <w:p w14:paraId="466C272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mutate(!!derived_nm := !!num_nm/!!den_nm) %&gt;%</w:t>
      </w:r>
    </w:p>
    <w:p w14:paraId="3E25EB3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summarize(</w:t>
      </w:r>
    </w:p>
    <w:p w14:paraId="4FBD68B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!!mean_nm := mean(!!derived_nm),</w:t>
      </w:r>
    </w:p>
    <w:p w14:paraId="3067C04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!!count_nm := n()</w:t>
      </w:r>
    </w:p>
    <w:p w14:paraId="17481E5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44BFB79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ungroup() %&gt;%</w:t>
      </w:r>
    </w:p>
    <w:p w14:paraId="09F2A4C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arrange(!!group_nm)</w:t>
      </w:r>
    </w:p>
    <w:p w14:paraId="3CA80B02"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Writing the above code requires two ideas:</w:t>
      </w:r>
    </w:p>
    <w:p w14:paraId="15BB25B8" w14:textId="77777777" w:rsidR="00475018" w:rsidRPr="00475018" w:rsidRDefault="00475018" w:rsidP="004750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quasiqotation (marking some symbols for substitution, in this case using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as the marker). As we said, quasiquotation has been available in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since 2003.</w:t>
      </w:r>
    </w:p>
    <w:p w14:paraId="47A2BD17" w14:textId="18770A71" w:rsidR="00475018" w:rsidRPr="00475018" w:rsidRDefault="00475018" w:rsidP="004750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Using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as a substitute for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to allow substitution marks on the left-hand sides of assignment like expressions without triggering syntax errors.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is an unused left-over assignment operator that has low-precedence (like assignments do), but not all the syntactic restrictions of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This is an idea used in </w:t>
      </w:r>
      <w:r w:rsidRPr="00475018">
        <w:rPr>
          <w:rFonts w:ascii="Courier New" w:eastAsia="Times New Roman" w:hAnsi="Courier New" w:cs="Courier New"/>
          <w:sz w:val="20"/>
          <w:szCs w:val="20"/>
          <w:lang w:eastAsia="en-IN"/>
        </w:rPr>
        <w:t>data.table</w:t>
      </w:r>
      <w:r w:rsidRPr="00475018">
        <w:rPr>
          <w:rFonts w:ascii="Times New Roman" w:eastAsia="Times New Roman" w:hAnsi="Times New Roman" w:cs="Times New Roman"/>
          <w:sz w:val="20"/>
          <w:szCs w:val="20"/>
          <w:lang w:eastAsia="en-IN"/>
        </w:rPr>
        <w:t xml:space="preserve"> for quite some time.</w:t>
      </w:r>
    </w:p>
    <w:p w14:paraId="493CEC81"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Courier New" w:eastAsia="Times New Roman" w:hAnsi="Courier New" w:cs="Courier New"/>
          <w:sz w:val="20"/>
          <w:szCs w:val="20"/>
          <w:lang w:eastAsia="en-IN"/>
        </w:rPr>
        <w:t>dplyr 0.5.0</w:t>
      </w:r>
      <w:r w:rsidRPr="00475018">
        <w:rPr>
          <w:rFonts w:ascii="Times New Roman" w:eastAsia="Times New Roman" w:hAnsi="Times New Roman" w:cs="Times New Roman"/>
          <w:sz w:val="20"/>
          <w:szCs w:val="20"/>
          <w:lang w:eastAsia="en-IN"/>
        </w:rPr>
        <w:t xml:space="preserve"> (released June 2016) did not yet incorporate quasiqotation, so we can not run the above code in </w:t>
      </w:r>
      <w:r w:rsidRPr="00475018">
        <w:rPr>
          <w:rFonts w:ascii="Courier New" w:eastAsia="Times New Roman" w:hAnsi="Courier New" w:cs="Courier New"/>
          <w:sz w:val="20"/>
          <w:szCs w:val="20"/>
          <w:lang w:eastAsia="en-IN"/>
        </w:rPr>
        <w:t>dplyr 0.5.0</w:t>
      </w:r>
      <w:r w:rsidRPr="00475018">
        <w:rPr>
          <w:rFonts w:ascii="Times New Roman" w:eastAsia="Times New Roman" w:hAnsi="Times New Roman" w:cs="Times New Roman"/>
          <w:sz w:val="20"/>
          <w:szCs w:val="20"/>
          <w:lang w:eastAsia="en-IN"/>
        </w:rPr>
        <w:t xml:space="preserve"> unless we take the steps of:</w:t>
      </w:r>
    </w:p>
    <w:p w14:paraId="4149DFD7"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Replacing the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substitution markings with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‘s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notation.</w:t>
      </w:r>
    </w:p>
    <w:p w14:paraId="4A1CFFD0"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Changing the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back to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w:t>
      </w:r>
    </w:p>
    <w:p w14:paraId="558EBE0E"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Placing the whole pipeline in an </w:t>
      </w:r>
      <w:r w:rsidRPr="00475018">
        <w:rPr>
          <w:rFonts w:ascii="Courier New" w:eastAsia="Times New Roman" w:hAnsi="Courier New" w:cs="Courier New"/>
          <w:sz w:val="20"/>
          <w:szCs w:val="20"/>
          <w:lang w:eastAsia="en-IN"/>
        </w:rPr>
        <w:t>eval(bquote())</w:t>
      </w:r>
      <w:r w:rsidRPr="00475018">
        <w:rPr>
          <w:rFonts w:ascii="Times New Roman" w:eastAsia="Times New Roman" w:hAnsi="Times New Roman" w:cs="Times New Roman"/>
          <w:sz w:val="20"/>
          <w:szCs w:val="20"/>
          <w:lang w:eastAsia="en-IN"/>
        </w:rPr>
        <w:t xml:space="preserve"> block.</w:t>
      </w:r>
    </w:p>
    <w:p w14:paraId="601E03B7" w14:textId="77777777" w:rsidR="00475018" w:rsidRPr="00475018" w:rsidRDefault="00475018" w:rsidP="004750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Not directly substituting symbols on the left-hand sides of expressions.</w:t>
      </w:r>
    </w:p>
    <w:p w14:paraId="7A815B2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lastRenderedPageBreak/>
        <w:t>This looks like the following.</w:t>
      </w:r>
    </w:p>
    <w:p w14:paraId="4F92883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apply a partially parameterized pipeline using bquote</w:t>
      </w:r>
    </w:p>
    <w:p w14:paraId="43805D8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eval(bquote(</w:t>
      </w:r>
    </w:p>
    <w:p w14:paraId="2E8FE83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61CB80D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mtcars %&gt;%</w:t>
      </w:r>
    </w:p>
    <w:p w14:paraId="571A4DD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group_by(.(group_nm)) %&gt;%</w:t>
      </w:r>
    </w:p>
    <w:p w14:paraId="2728D82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mutate(TMP1 = .(num_nm)/.(den_nm)) %&gt;%</w:t>
      </w:r>
    </w:p>
    <w:p w14:paraId="64F8CF4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rename_(.dots = setNames("TMP1", as.character(derived_nm))) %&gt;%</w:t>
      </w:r>
    </w:p>
    <w:p w14:paraId="38345D0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summarize(</w:t>
      </w:r>
    </w:p>
    <w:p w14:paraId="4BE118D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TMP2 = mean(.(derived_nm)),</w:t>
      </w:r>
    </w:p>
    <w:p w14:paraId="1583381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TMP3 = n()</w:t>
      </w:r>
    </w:p>
    <w:p w14:paraId="660B9C7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667ED12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ungroup() %&gt;%</w:t>
      </w:r>
    </w:p>
    <w:p w14:paraId="2A2AC76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rename_(.dots = setNames("TMP2", as.character(mean_nm))) %&gt;%</w:t>
      </w:r>
    </w:p>
    <w:p w14:paraId="46303BB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rename_(.dots = setNames("TMP3", as.character(count_nm))) %&gt;%</w:t>
      </w:r>
    </w:p>
    <w:p w14:paraId="436ED28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arrange(.(group_nm))</w:t>
      </w:r>
    </w:p>
    <w:p w14:paraId="0D8EC3E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F613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w:t>
      </w:r>
    </w:p>
    <w:p w14:paraId="3841806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 A tibble: 2 x 3</w:t>
      </w:r>
    </w:p>
    <w:p w14:paraId="43E8C2B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am mean_hp_per_cyl group_count</w:t>
      </w:r>
    </w:p>
    <w:p w14:paraId="5381EC1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3A4C49B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            22.7          19</w:t>
      </w:r>
    </w:p>
    <w:p w14:paraId="1BB4ACE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2     1            23.4          13</w:t>
      </w:r>
    </w:p>
    <w:p w14:paraId="7D59CEF7"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That nearly solved the problem (notice we were not able to control the left-hand sides of assignment-like expressions). In December of 2016 we publicly announced and released the </w:t>
      </w:r>
      <w:hyperlink r:id="rId6" w:tgtFrame="_blank" w:history="1">
        <w:r w:rsidRPr="00475018">
          <w:rPr>
            <w:rFonts w:ascii="Courier New" w:eastAsia="Times New Roman" w:hAnsi="Courier New" w:cs="Courier New"/>
            <w:sz w:val="20"/>
            <w:szCs w:val="20"/>
            <w:lang w:eastAsia="en-IN"/>
          </w:rPr>
          <w:t>let()</w:t>
        </w:r>
      </w:hyperlink>
      <w:r w:rsidRPr="00475018">
        <w:rPr>
          <w:rFonts w:ascii="Times New Roman" w:eastAsia="Times New Roman" w:hAnsi="Times New Roman" w:cs="Times New Roman"/>
          <w:sz w:val="20"/>
          <w:szCs w:val="20"/>
          <w:lang w:eastAsia="en-IN"/>
        </w:rPr>
        <w:t xml:space="preserve"> adapter that addressed almost all of these concerns at the user level (deliberately not modifying </w:t>
      </w:r>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sz w:val="20"/>
          <w:szCs w:val="20"/>
          <w:lang w:eastAsia="en-IN"/>
        </w:rPr>
        <w:t xml:space="preserve"> code). The substitutions are specified by name (instead of by position), and the code must still be executed in a </w:t>
      </w:r>
      <w:r w:rsidRPr="00475018">
        <w:rPr>
          <w:rFonts w:ascii="Courier New" w:eastAsia="Times New Roman" w:hAnsi="Courier New" w:cs="Courier New"/>
          <w:sz w:val="20"/>
          <w:szCs w:val="20"/>
          <w:lang w:eastAsia="en-IN"/>
        </w:rPr>
        <w:t>let()</w:t>
      </w:r>
      <w:r w:rsidRPr="00475018">
        <w:rPr>
          <w:rFonts w:ascii="Times New Roman" w:eastAsia="Times New Roman" w:hAnsi="Times New Roman" w:cs="Times New Roman"/>
          <w:sz w:val="20"/>
          <w:szCs w:val="20"/>
          <w:lang w:eastAsia="en-IN"/>
        </w:rPr>
        <w:t xml:space="preserve"> block to get the desired control.</w:t>
      </w:r>
    </w:p>
    <w:p w14:paraId="7965CAA5"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This looks like the following.</w:t>
      </w:r>
    </w:p>
    <w:p w14:paraId="511C11F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alias &lt;- </w:t>
      </w:r>
    </w:p>
    <w:p w14:paraId="3CE99AC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c(group_nm = as.character(group_nm),</w:t>
      </w:r>
    </w:p>
    <w:p w14:paraId="68E395A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num_nm = as.character(num_nm),</w:t>
      </w:r>
    </w:p>
    <w:p w14:paraId="7DF17EA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den_nm  = as.character(den_nm),</w:t>
      </w:r>
    </w:p>
    <w:p w14:paraId="349411ED"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derived_nm  = as.character(derived_nm),</w:t>
      </w:r>
    </w:p>
    <w:p w14:paraId="2F807B5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mean_nm = as.character(mean_nm),</w:t>
      </w:r>
    </w:p>
    <w:p w14:paraId="6F0905C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count_nm  = as.character(count_nm))</w:t>
      </w:r>
    </w:p>
    <w:p w14:paraId="482ECA0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A483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wrapr::let(alias,</w:t>
      </w:r>
    </w:p>
    <w:p w14:paraId="13802FC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37B4E28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mtcars %&gt;%</w:t>
      </w:r>
    </w:p>
    <w:p w14:paraId="3163C9C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group_by(group_nm) %&gt;%</w:t>
      </w:r>
    </w:p>
    <w:p w14:paraId="5C3FFA7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mutate(derived_nm = num_nm/den_nm) %&gt;%</w:t>
      </w:r>
    </w:p>
    <w:p w14:paraId="1D78325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summarize(</w:t>
      </w:r>
    </w:p>
    <w:p w14:paraId="272F4922"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mean_nm = mean(derived_nm),</w:t>
      </w:r>
    </w:p>
    <w:p w14:paraId="5C1572E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count_nm = n()</w:t>
      </w:r>
    </w:p>
    <w:p w14:paraId="3DE68BD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508FBB9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ungroup() %&gt;%</w:t>
      </w:r>
    </w:p>
    <w:p w14:paraId="351BFC0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arrange(group_nm)</w:t>
      </w:r>
    </w:p>
    <w:p w14:paraId="0D9F60AC"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C63B4"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w:t>
      </w:r>
    </w:p>
    <w:p w14:paraId="2B99B33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 A tibble: 2 x 3</w:t>
      </w:r>
    </w:p>
    <w:p w14:paraId="427D92C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am mean_hp_per_cyl group_count</w:t>
      </w:r>
    </w:p>
    <w:p w14:paraId="6675E7C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5449188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            22.7          19</w:t>
      </w:r>
    </w:p>
    <w:p w14:paraId="133DDF9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2     1            23.4          13</w:t>
      </w:r>
    </w:p>
    <w:p w14:paraId="47B74559" w14:textId="29D84A26"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lastRenderedPageBreak/>
        <w:t xml:space="preserve">We felt this was the least intrusive way to give </w:t>
      </w:r>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sz w:val="20"/>
          <w:szCs w:val="20"/>
          <w:lang w:eastAsia="en-IN"/>
        </w:rPr>
        <w:t xml:space="preserve"> users useful macro substitution ability over </w:t>
      </w:r>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sz w:val="20"/>
          <w:szCs w:val="20"/>
          <w:lang w:eastAsia="en-IN"/>
        </w:rPr>
        <w:t xml:space="preserve"> pipelines. So by December of 2016 users had public access to a complete solution. </w:t>
      </w:r>
    </w:p>
    <w:p w14:paraId="5CEC4896"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In May of 2017 </w:t>
      </w:r>
      <w:r w:rsidRPr="00475018">
        <w:rPr>
          <w:rFonts w:ascii="Courier New" w:eastAsia="Times New Roman" w:hAnsi="Courier New" w:cs="Courier New"/>
          <w:sz w:val="20"/>
          <w:szCs w:val="20"/>
          <w:lang w:eastAsia="en-IN"/>
        </w:rPr>
        <w:t>rlang</w:t>
      </w:r>
      <w:r w:rsidRPr="00475018">
        <w:rPr>
          <w:rFonts w:ascii="Times New Roman" w:eastAsia="Times New Roman" w:hAnsi="Times New Roman" w:cs="Times New Roman"/>
          <w:sz w:val="20"/>
          <w:szCs w:val="20"/>
          <w:lang w:eastAsia="en-IN"/>
        </w:rPr>
        <w:t xml:space="preserve"> was publicly announced and released. </w:t>
      </w:r>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sz w:val="20"/>
          <w:szCs w:val="20"/>
          <w:lang w:eastAsia="en-IN"/>
        </w:rPr>
        <w:t xml:space="preserve"> adapted new </w:t>
      </w:r>
      <w:r w:rsidRPr="00475018">
        <w:rPr>
          <w:rFonts w:ascii="Courier New" w:eastAsia="Times New Roman" w:hAnsi="Courier New" w:cs="Courier New"/>
          <w:sz w:val="20"/>
          <w:szCs w:val="20"/>
          <w:lang w:eastAsia="en-IN"/>
        </w:rPr>
        <w:t>rlang</w:t>
      </w:r>
      <w:r w:rsidRPr="00475018">
        <w:rPr>
          <w:rFonts w:ascii="Times New Roman" w:eastAsia="Times New Roman" w:hAnsi="Times New Roman" w:cs="Times New Roman"/>
          <w:sz w:val="20"/>
          <w:szCs w:val="20"/>
          <w:lang w:eastAsia="en-IN"/>
        </w:rPr>
        <w:t xml:space="preserve"> based quasiquotation ability directly into many of its functions/methods. This means the user does not need to draw a substitution block around their code, as the package authors have written the block. At first glance this is something only the </w:t>
      </w:r>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sz w:val="20"/>
          <w:szCs w:val="20"/>
          <w:lang w:eastAsia="en-IN"/>
        </w:rPr>
        <w:t xml:space="preserve"> package authors could do (as they control the code), but it turns out one can also easily adapt (or wrap) existing code in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w:t>
      </w:r>
    </w:p>
    <w:p w14:paraId="6FA999DA"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A very small effort (about 25 lines of code now found in </w:t>
      </w:r>
      <w:hyperlink r:id="rId7" w:tgtFrame="_blank" w:history="1">
        <w:r w:rsidRPr="00475018">
          <w:rPr>
            <w:rFonts w:ascii="Courier New" w:eastAsia="Times New Roman" w:hAnsi="Courier New" w:cs="Courier New"/>
            <w:sz w:val="20"/>
            <w:szCs w:val="20"/>
            <w:lang w:eastAsia="en-IN"/>
          </w:rPr>
          <w:t>bquote_call()</w:t>
        </w:r>
      </w:hyperlink>
      <w:r w:rsidRPr="00475018">
        <w:rPr>
          <w:rFonts w:ascii="Times New Roman" w:eastAsia="Times New Roman" w:hAnsi="Times New Roman" w:cs="Times New Roman"/>
          <w:sz w:val="20"/>
          <w:szCs w:val="20"/>
          <w:lang w:eastAsia="en-IN"/>
        </w:rPr>
        <w:t xml:space="preserve">) is needed to specify argument substitution semantics using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The bulk of that code is adding the top-level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to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substitution. Then it takes only about 10 lines of code to write a function that re-maps existing </w:t>
      </w:r>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sz w:val="20"/>
          <w:szCs w:val="20"/>
          <w:lang w:eastAsia="en-IN"/>
        </w:rPr>
        <w:t xml:space="preserve"> functions to new functions using the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adapter </w:t>
      </w:r>
      <w:hyperlink r:id="rId8" w:tgtFrame="_blank" w:history="1">
        <w:r w:rsidRPr="00475018">
          <w:rPr>
            <w:rFonts w:ascii="Courier New" w:eastAsia="Times New Roman" w:hAnsi="Courier New" w:cs="Courier New"/>
            <w:sz w:val="20"/>
            <w:szCs w:val="20"/>
            <w:lang w:eastAsia="en-IN"/>
          </w:rPr>
          <w:t>bquote_function()</w:t>
        </w:r>
      </w:hyperlink>
      <w:r w:rsidRPr="00475018">
        <w:rPr>
          <w:rFonts w:ascii="Times New Roman" w:eastAsia="Times New Roman" w:hAnsi="Times New Roman" w:cs="Times New Roman"/>
          <w:sz w:val="20"/>
          <w:szCs w:val="20"/>
          <w:lang w:eastAsia="en-IN"/>
        </w:rPr>
        <w:t xml:space="preserve">. And a package author could choose to directly integrate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transforms at even smaller cost.</w:t>
      </w:r>
    </w:p>
    <w:p w14:paraId="58802798"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Lets convert </w:t>
      </w:r>
      <w:r w:rsidRPr="00475018">
        <w:rPr>
          <w:rFonts w:ascii="Courier New" w:eastAsia="Times New Roman" w:hAnsi="Courier New" w:cs="Courier New"/>
          <w:sz w:val="20"/>
          <w:szCs w:val="20"/>
          <w:lang w:eastAsia="en-IN"/>
        </w:rPr>
        <w:t>dplyr 0.5.0</w:t>
      </w:r>
      <w:r w:rsidRPr="00475018">
        <w:rPr>
          <w:rFonts w:ascii="Times New Roman" w:eastAsia="Times New Roman" w:hAnsi="Times New Roman" w:cs="Times New Roman"/>
          <w:sz w:val="20"/>
          <w:szCs w:val="20"/>
          <w:lang w:eastAsia="en-IN"/>
        </w:rPr>
        <w:t xml:space="preserve"> to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based quasiquotation. We can do that by running our adapter over the names of 29 common </w:t>
      </w:r>
      <w:r w:rsidRPr="00475018">
        <w:rPr>
          <w:rFonts w:ascii="Courier New" w:eastAsia="Times New Roman" w:hAnsi="Courier New" w:cs="Courier New"/>
          <w:sz w:val="20"/>
          <w:szCs w:val="20"/>
          <w:lang w:eastAsia="en-IN"/>
        </w:rPr>
        <w:t>dplyr</w:t>
      </w:r>
      <w:r w:rsidRPr="00475018">
        <w:rPr>
          <w:rFonts w:ascii="Times New Roman" w:eastAsia="Times New Roman" w:hAnsi="Times New Roman" w:cs="Times New Roman"/>
          <w:sz w:val="20"/>
          <w:szCs w:val="20"/>
          <w:lang w:eastAsia="en-IN"/>
        </w:rPr>
        <w:t xml:space="preserve"> methods, which places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enhanced versions in our running environment. The code to do this is below.</w:t>
      </w:r>
    </w:p>
    <w:p w14:paraId="477BE58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wrap some dplyr methods</w:t>
      </w:r>
    </w:p>
    <w:p w14:paraId="7721812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nms &lt;- c("all_equal", "anti_join", "arrange",</w:t>
      </w:r>
    </w:p>
    <w:p w14:paraId="5B647A7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"as.tbl", "bind_cols", "bind_rows",</w:t>
      </w:r>
    </w:p>
    <w:p w14:paraId="38BB74E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"collect", "compute", "copy_to", "count",</w:t>
      </w:r>
    </w:p>
    <w:p w14:paraId="0A80D94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"distinct", "filter", "full_join",</w:t>
      </w:r>
    </w:p>
    <w:p w14:paraId="0C1C28F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"group_by", "group_indices",</w:t>
      </w:r>
    </w:p>
    <w:p w14:paraId="2F5CAA6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"inner_join", "is.tbl", "left_join",</w:t>
      </w:r>
    </w:p>
    <w:p w14:paraId="11030CDD"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"mutate", "rename", "right_join",</w:t>
      </w:r>
    </w:p>
    <w:p w14:paraId="3D11380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"select", "semi_join", "summarise",</w:t>
      </w:r>
    </w:p>
    <w:p w14:paraId="589F31C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"summarize", "tally", "tbl", "transmute",</w:t>
      </w:r>
    </w:p>
    <w:p w14:paraId="6E461CF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"ungroup")</w:t>
      </w:r>
    </w:p>
    <w:p w14:paraId="12D3643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env &lt;- environment()</w:t>
      </w:r>
    </w:p>
    <w:p w14:paraId="52B76186"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for(fname in nms) {</w:t>
      </w:r>
    </w:p>
    <w:p w14:paraId="60253495"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fn &lt;- getFromNamespace(fname, ns = "dplyr")</w:t>
      </w:r>
    </w:p>
    <w:p w14:paraId="0E5F2F5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assign(fname, </w:t>
      </w:r>
    </w:p>
    <w:p w14:paraId="74A7F61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requires wrapr 1.6.4 or newer</w:t>
      </w:r>
    </w:p>
    <w:p w14:paraId="6A97E5B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wrapr::bquote_function(fn),</w:t>
      </w:r>
    </w:p>
    <w:p w14:paraId="6055250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envir = env)</w:t>
      </w:r>
    </w:p>
    <w:p w14:paraId="3D796AA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w:t>
      </w:r>
    </w:p>
    <w:p w14:paraId="75FE94D0"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With these adaptions in place we can write partially substituted or parametric code as follows.</w:t>
      </w:r>
    </w:p>
    <w:p w14:paraId="429FD63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packageVersion("dplyr")</w:t>
      </w:r>
    </w:p>
    <w:p w14:paraId="08E9D02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'0.5.0'</w:t>
      </w:r>
    </w:p>
    <w:p w14:paraId="0CE234C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apply a parameterized pipeline using bquote</w:t>
      </w:r>
    </w:p>
    <w:p w14:paraId="5D100911"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mtcars %&gt;%</w:t>
      </w:r>
    </w:p>
    <w:p w14:paraId="4B38A94B"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group_by(.(group_nm)) %&gt;%</w:t>
      </w:r>
    </w:p>
    <w:p w14:paraId="57C36D19"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mutate(.(derived_nm) := .(num_nm)/.(den_nm)) %&gt;%</w:t>
      </w:r>
    </w:p>
    <w:p w14:paraId="7F3D4387"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summarize(</w:t>
      </w:r>
    </w:p>
    <w:p w14:paraId="6C547E03"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.(mean_nm) := mean(.(derived_nm)),</w:t>
      </w:r>
    </w:p>
    <w:p w14:paraId="00732F8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.(count_nm) := n()</w:t>
      </w:r>
    </w:p>
    <w:p w14:paraId="5DF414CE"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 %&gt;%</w:t>
      </w:r>
    </w:p>
    <w:p w14:paraId="77CF01D8"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ungroup() %&gt;%</w:t>
      </w:r>
    </w:p>
    <w:p w14:paraId="5B86AD0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arrange(.(group_nm))</w:t>
      </w:r>
    </w:p>
    <w:p w14:paraId="58AA0060"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 A tibble: 2 x 3</w:t>
      </w:r>
    </w:p>
    <w:p w14:paraId="0CDD3A3F"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am mean_hp_per_cyl group_count</w:t>
      </w:r>
    </w:p>
    <w:p w14:paraId="1E102E6C"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xml:space="preserve">##                     </w:t>
      </w:r>
    </w:p>
    <w:p w14:paraId="6DD1AD2A"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1     0            22.7          19</w:t>
      </w:r>
    </w:p>
    <w:p w14:paraId="1FED0C7C" w14:textId="77777777" w:rsidR="00475018" w:rsidRPr="00475018" w:rsidRDefault="00475018" w:rsidP="0047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018">
        <w:rPr>
          <w:rFonts w:ascii="Courier New" w:eastAsia="Times New Roman" w:hAnsi="Courier New" w:cs="Courier New"/>
          <w:sz w:val="20"/>
          <w:szCs w:val="20"/>
          <w:lang w:eastAsia="en-IN"/>
        </w:rPr>
        <w:t>## 2     1            23.4          13</w:t>
      </w:r>
    </w:p>
    <w:p w14:paraId="6404BDFF"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lastRenderedPageBreak/>
        <w:t xml:space="preserve">This pretty much demonstrates that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was up to the job the whole time. All one had to do is decide to incorporate it into the source code (something only the package author could do) or adapt the functions (a bit invasive, but something any user can do).</w:t>
      </w:r>
    </w:p>
    <w:p w14:paraId="24F9CE62" w14:textId="6D940BAB"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The user visible difference is that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uses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to mark substitution of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rlang</w:t>
      </w:r>
      <w:r w:rsidRPr="00475018">
        <w:rPr>
          <w:rFonts w:ascii="Times New Roman" w:eastAsia="Times New Roman" w:hAnsi="Times New Roman" w:cs="Times New Roman"/>
          <w:sz w:val="20"/>
          <w:szCs w:val="20"/>
          <w:lang w:eastAsia="en-IN"/>
        </w:rPr>
        <w:t xml:space="preserve"> currently uses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to mark substitution of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(syntactically reminiscent of Lisp’s back-tick). Earlier versions of </w:t>
      </w:r>
      <w:r w:rsidRPr="00475018">
        <w:rPr>
          <w:rFonts w:ascii="Courier New" w:eastAsia="Times New Roman" w:hAnsi="Courier New" w:cs="Courier New"/>
          <w:sz w:val="20"/>
          <w:szCs w:val="20"/>
          <w:lang w:eastAsia="en-IN"/>
        </w:rPr>
        <w:t>rlang</w:t>
      </w:r>
      <w:r w:rsidRPr="00475018">
        <w:rPr>
          <w:rFonts w:ascii="Times New Roman" w:eastAsia="Times New Roman" w:hAnsi="Times New Roman" w:cs="Times New Roman"/>
          <w:sz w:val="20"/>
          <w:szCs w:val="20"/>
          <w:lang w:eastAsia="en-IN"/>
        </w:rPr>
        <w:t xml:space="preserve"> used </w:t>
      </w:r>
      <w:r w:rsidRPr="00475018">
        <w:rPr>
          <w:rFonts w:ascii="Courier New" w:eastAsia="Times New Roman" w:hAnsi="Courier New" w:cs="Courier New"/>
          <w:sz w:val="20"/>
          <w:szCs w:val="20"/>
          <w:lang w:eastAsia="en-IN"/>
        </w:rPr>
        <w:t>UQ(x)</w:t>
      </w:r>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uq(x)</w:t>
      </w:r>
      <w:r w:rsidRPr="00475018">
        <w:rPr>
          <w:rFonts w:ascii="Times New Roman" w:eastAsia="Times New Roman" w:hAnsi="Times New Roman" w:cs="Times New Roman"/>
          <w:sz w:val="20"/>
          <w:szCs w:val="20"/>
          <w:lang w:eastAsia="en-IN"/>
        </w:rPr>
        <w:t xml:space="preserve">, and even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Other famous substitution notations include </w:t>
      </w:r>
      <w:r w:rsidRPr="00475018">
        <w:rPr>
          <w:rFonts w:ascii="Courier New" w:eastAsia="Times New Roman" w:hAnsi="Courier New" w:cs="Courier New"/>
          <w:sz w:val="20"/>
          <w:szCs w:val="20"/>
          <w:lang w:eastAsia="en-IN"/>
        </w:rPr>
        <w:t>%x</w:t>
      </w:r>
      <w:r w:rsidRPr="00475018">
        <w:rPr>
          <w:rFonts w:ascii="Times New Roman" w:eastAsia="Times New Roman" w:hAnsi="Times New Roman" w:cs="Times New Roman"/>
          <w:sz w:val="20"/>
          <w:szCs w:val="20"/>
          <w:lang w:eastAsia="en-IN"/>
        </w:rPr>
        <w:t xml:space="preserve"> (from </w:t>
      </w:r>
      <w:r w:rsidRPr="00475018">
        <w:rPr>
          <w:rFonts w:ascii="Courier New" w:eastAsia="Times New Roman" w:hAnsi="Courier New" w:cs="Courier New"/>
          <w:sz w:val="20"/>
          <w:szCs w:val="20"/>
          <w:lang w:eastAsia="en-IN"/>
        </w:rPr>
        <w:t>C</w:t>
      </w:r>
      <w:r w:rsidRPr="00475018">
        <w:rPr>
          <w:rFonts w:ascii="Times New Roman" w:eastAsia="Times New Roman" w:hAnsi="Times New Roman" w:cs="Times New Roman"/>
          <w:sz w:val="20"/>
          <w:szCs w:val="20"/>
          <w:lang w:eastAsia="en-IN"/>
        </w:rPr>
        <w:t>/</w:t>
      </w:r>
      <w:r w:rsidRPr="00475018">
        <w:rPr>
          <w:rFonts w:ascii="Courier New" w:eastAsia="Times New Roman" w:hAnsi="Courier New" w:cs="Courier New"/>
          <w:sz w:val="20"/>
          <w:szCs w:val="20"/>
          <w:lang w:eastAsia="en-IN"/>
        </w:rPr>
        <w:t>printf</w:t>
      </w:r>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(from </w:t>
      </w:r>
      <w:hyperlink r:id="rId9" w:tgtFrame="_blank" w:history="1">
        <w:r w:rsidRPr="00475018">
          <w:rPr>
            <w:rFonts w:ascii="Times New Roman" w:eastAsia="Times New Roman" w:hAnsi="Times New Roman" w:cs="Times New Roman"/>
            <w:color w:val="0000FF"/>
            <w:sz w:val="20"/>
            <w:szCs w:val="20"/>
            <w:u w:val="single"/>
            <w:lang w:eastAsia="en-IN"/>
          </w:rPr>
          <w:t>Python PEP 498 — Literal String Interpolation</w:t>
        </w:r>
      </w:hyperlink>
      <w:r w:rsidRPr="00475018">
        <w:rPr>
          <w:rFonts w:ascii="Times New Roman" w:eastAsia="Times New Roman" w:hAnsi="Times New Roman" w:cs="Times New Roman"/>
          <w:sz w:val="20"/>
          <w:szCs w:val="20"/>
          <w:lang w:eastAsia="en-IN"/>
        </w:rPr>
        <w:t xml:space="preserve">, and used in </w:t>
      </w:r>
      <w:hyperlink r:id="rId10" w:tgtFrame="_blank" w:history="1">
        <w:r w:rsidRPr="00475018">
          <w:rPr>
            <w:rFonts w:ascii="Courier New" w:eastAsia="Times New Roman" w:hAnsi="Courier New" w:cs="Courier New"/>
            <w:sz w:val="20"/>
            <w:szCs w:val="20"/>
            <w:lang w:eastAsia="en-IN"/>
          </w:rPr>
          <w:t>glue</w:t>
        </w:r>
      </w:hyperlink>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and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(from bash), and many </w:t>
      </w:r>
      <w:hyperlink r:id="rId11" w:tgtFrame="_blank" w:history="1">
        <w:r w:rsidRPr="00475018">
          <w:rPr>
            <w:rFonts w:ascii="Times New Roman" w:eastAsia="Times New Roman" w:hAnsi="Times New Roman" w:cs="Times New Roman"/>
            <w:color w:val="0000FF"/>
            <w:sz w:val="20"/>
            <w:szCs w:val="20"/>
            <w:u w:val="single"/>
            <w:lang w:eastAsia="en-IN"/>
          </w:rPr>
          <w:t>more</w:t>
        </w:r>
      </w:hyperlink>
      <w:r w:rsidRPr="00475018">
        <w:rPr>
          <w:rFonts w:ascii="Times New Roman" w:eastAsia="Times New Roman" w:hAnsi="Times New Roman" w:cs="Times New Roman"/>
          <w:sz w:val="20"/>
          <w:szCs w:val="20"/>
          <w:lang w:eastAsia="en-IN"/>
        </w:rPr>
        <w:t>.</w:t>
      </w:r>
    </w:p>
    <w:p w14:paraId="1E6F4AEA"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There are some minor technical differences between the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and </w:t>
      </w:r>
      <w:r w:rsidRPr="00475018">
        <w:rPr>
          <w:rFonts w:ascii="Courier New" w:eastAsia="Times New Roman" w:hAnsi="Courier New" w:cs="Courier New"/>
          <w:sz w:val="20"/>
          <w:szCs w:val="20"/>
          <w:lang w:eastAsia="en-IN"/>
        </w:rPr>
        <w:t>rlang</w:t>
      </w:r>
      <w:r w:rsidRPr="00475018">
        <w:rPr>
          <w:rFonts w:ascii="Times New Roman" w:eastAsia="Times New Roman" w:hAnsi="Times New Roman" w:cs="Times New Roman"/>
          <w:sz w:val="20"/>
          <w:szCs w:val="20"/>
          <w:lang w:eastAsia="en-IN"/>
        </w:rPr>
        <w:t xml:space="preserve"> solutions. But one can write corner case code that fails either method at will. We are not discussing the </w:t>
      </w:r>
      <w:r w:rsidRPr="00475018">
        <w:rPr>
          <w:rFonts w:ascii="Courier New" w:eastAsia="Times New Roman" w:hAnsi="Courier New" w:cs="Courier New"/>
          <w:sz w:val="20"/>
          <w:szCs w:val="20"/>
          <w:lang w:eastAsia="en-IN"/>
        </w:rPr>
        <w:t>rlang</w:t>
      </w:r>
      <w:r w:rsidRPr="00475018">
        <w:rPr>
          <w:rFonts w:ascii="Times New Roman" w:eastAsia="Times New Roman" w:hAnsi="Times New Roman" w:cs="Times New Roman"/>
          <w:sz w:val="20"/>
          <w:szCs w:val="20"/>
          <w:lang w:eastAsia="en-IN"/>
        </w:rPr>
        <w:t xml:space="preserve">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"splice" syntax, as the </w:t>
      </w:r>
      <w:r w:rsidRPr="00475018">
        <w:rPr>
          <w:rFonts w:ascii="Times New Roman" w:eastAsia="Times New Roman" w:hAnsi="Times New Roman" w:cs="Times New Roman"/>
          <w:i/>
          <w:iCs/>
          <w:sz w:val="20"/>
          <w:szCs w:val="20"/>
          <w:lang w:eastAsia="en-IN"/>
        </w:rPr>
        <w:t>need</w:t>
      </w:r>
      <w:r w:rsidRPr="00475018">
        <w:rPr>
          <w:rFonts w:ascii="Times New Roman" w:eastAsia="Times New Roman" w:hAnsi="Times New Roman" w:cs="Times New Roman"/>
          <w:sz w:val="20"/>
          <w:szCs w:val="20"/>
          <w:lang w:eastAsia="en-IN"/>
        </w:rPr>
        <w:t xml:space="preserve"> for it is avoidable by avoiding over-use of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tricks. For actual user work both systems are going to look very similar.</w:t>
      </w:r>
    </w:p>
    <w:p w14:paraId="2E99A729"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Overall we are discussing avoiding interfaces that are convenient for interactive work, yet difficult to parameterize or program over. Quasiquotation is a tool to overcome package design limitations or design flaws. You don’t see quasiquotation very much in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as many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developers work hard on their end to make sure the user does not require it.</w:t>
      </w:r>
    </w:p>
    <w:p w14:paraId="57AE938E" w14:textId="77777777" w:rsidR="00475018" w:rsidRPr="00475018" w:rsidRDefault="00475018" w:rsidP="00475018">
      <w:p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For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package and function developers my advice is:</w:t>
      </w:r>
    </w:p>
    <w:p w14:paraId="5F5F893F" w14:textId="251D1EE8" w:rsidR="00475018" w:rsidRPr="00475018" w:rsidRDefault="00475018" w:rsidP="0047501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If you are using "quoting interfaces" (interfaces that take names by quoting un-evaluated </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-code) then design your package to also have sufficiently powerful standard evaluation interfaces so that users can move to these if they run into trouble</w:t>
      </w:r>
      <w:r w:rsidR="00C9727D">
        <w:rPr>
          <w:rFonts w:ascii="Times New Roman" w:eastAsia="Times New Roman" w:hAnsi="Times New Roman" w:cs="Times New Roman"/>
          <w:sz w:val="20"/>
          <w:szCs w:val="20"/>
          <w:lang w:eastAsia="en-IN"/>
        </w:rPr>
        <w:t>:</w:t>
      </w:r>
    </w:p>
    <w:p w14:paraId="6F212DD8" w14:textId="77777777" w:rsidR="00475018" w:rsidRPr="00475018" w:rsidRDefault="00475018" w:rsidP="00475018">
      <w:pPr>
        <w:spacing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As a developer, you should always provide an escape hatch: an alternative version of the function that uses standard evaluation. </w:t>
      </w:r>
    </w:p>
    <w:p w14:paraId="66E8B040" w14:textId="77777777" w:rsidR="00475018" w:rsidRPr="00475018" w:rsidRDefault="00475018" w:rsidP="0047501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75018">
        <w:rPr>
          <w:rFonts w:ascii="Times New Roman" w:eastAsia="Times New Roman" w:hAnsi="Times New Roman" w:cs="Times New Roman"/>
          <w:sz w:val="20"/>
          <w:szCs w:val="20"/>
          <w:lang w:eastAsia="en-IN"/>
        </w:rPr>
        <w:t xml:space="preserve">If you wish to introduce quasiquotation into your functions or packages, </w:t>
      </w:r>
      <w:r w:rsidRPr="00475018">
        <w:rPr>
          <w:rFonts w:ascii="Times New Roman" w:eastAsia="Times New Roman" w:hAnsi="Times New Roman" w:cs="Times New Roman"/>
          <w:i/>
          <w:iCs/>
          <w:sz w:val="20"/>
          <w:szCs w:val="20"/>
          <w:lang w:eastAsia="en-IN"/>
        </w:rPr>
        <w:t>please</w:t>
      </w:r>
      <w:r w:rsidRPr="00475018">
        <w:rPr>
          <w:rFonts w:ascii="Times New Roman" w:eastAsia="Times New Roman" w:hAnsi="Times New Roman" w:cs="Times New Roman"/>
          <w:sz w:val="20"/>
          <w:szCs w:val="20"/>
          <w:lang w:eastAsia="en-IN"/>
        </w:rPr>
        <w:t xml:space="preserve"> consider using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to do it. It has been part of base-</w:t>
      </w:r>
      <w:r w:rsidRPr="00475018">
        <w:rPr>
          <w:rFonts w:ascii="Courier New" w:eastAsia="Times New Roman" w:hAnsi="Courier New" w:cs="Courier New"/>
          <w:sz w:val="20"/>
          <w:szCs w:val="20"/>
          <w:lang w:eastAsia="en-IN"/>
        </w:rPr>
        <w:t>R</w:t>
      </w:r>
      <w:r w:rsidRPr="00475018">
        <w:rPr>
          <w:rFonts w:ascii="Times New Roman" w:eastAsia="Times New Roman" w:hAnsi="Times New Roman" w:cs="Times New Roman"/>
          <w:sz w:val="20"/>
          <w:szCs w:val="20"/>
          <w:lang w:eastAsia="en-IN"/>
        </w:rPr>
        <w:t xml:space="preserve"> for 15 years, works very well, and is quite stable.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is small enough to be comprehensible. Users who learn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notation on one package will be able to re-use their experience on other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enabled packages. To help: we have some example code called </w:t>
      </w:r>
      <w:hyperlink r:id="rId12" w:tgtFrame="_blank" w:history="1">
        <w:r w:rsidRPr="00475018">
          <w:rPr>
            <w:rFonts w:ascii="Courier New" w:eastAsia="Times New Roman" w:hAnsi="Courier New" w:cs="Courier New"/>
            <w:sz w:val="20"/>
            <w:szCs w:val="20"/>
            <w:lang w:eastAsia="en-IN"/>
          </w:rPr>
          <w:t>bquote_call_args()</w:t>
        </w:r>
      </w:hyperlink>
      <w:r w:rsidRPr="00475018">
        <w:rPr>
          <w:rFonts w:ascii="Times New Roman" w:eastAsia="Times New Roman" w:hAnsi="Times New Roman" w:cs="Times New Roman"/>
          <w:sz w:val="20"/>
          <w:szCs w:val="20"/>
          <w:lang w:eastAsia="en-IN"/>
        </w:rPr>
        <w:t xml:space="preserve"> where we are prototyping a canonical way to incorporate </w:t>
      </w:r>
      <w:r w:rsidRPr="00475018">
        <w:rPr>
          <w:rFonts w:ascii="Courier New" w:eastAsia="Times New Roman" w:hAnsi="Courier New" w:cs="Courier New"/>
          <w:sz w:val="20"/>
          <w:szCs w:val="20"/>
          <w:lang w:eastAsia="en-IN"/>
        </w:rPr>
        <w:t>bquote()</w:t>
      </w:r>
      <w:r w:rsidRPr="00475018">
        <w:rPr>
          <w:rFonts w:ascii="Times New Roman" w:eastAsia="Times New Roman" w:hAnsi="Times New Roman" w:cs="Times New Roman"/>
          <w:sz w:val="20"/>
          <w:szCs w:val="20"/>
          <w:lang w:eastAsia="en-IN"/>
        </w:rPr>
        <w:t xml:space="preserve"> and </w:t>
      </w:r>
      <w:r w:rsidRPr="00475018">
        <w:rPr>
          <w:rFonts w:ascii="Courier New" w:eastAsia="Times New Roman" w:hAnsi="Courier New" w:cs="Courier New"/>
          <w:sz w:val="20"/>
          <w:szCs w:val="20"/>
          <w:lang w:eastAsia="en-IN"/>
        </w:rPr>
        <w:t>:=</w:t>
      </w:r>
      <w:r w:rsidRPr="00475018">
        <w:rPr>
          <w:rFonts w:ascii="Times New Roman" w:eastAsia="Times New Roman" w:hAnsi="Times New Roman" w:cs="Times New Roman"/>
          <w:sz w:val="20"/>
          <w:szCs w:val="20"/>
          <w:lang w:eastAsia="en-IN"/>
        </w:rPr>
        <w:t xml:space="preserve"> re-writing in your own functions and packages. It isn’t in the released version of </w:t>
      </w:r>
      <w:r w:rsidRPr="00475018">
        <w:rPr>
          <w:rFonts w:ascii="Courier New" w:eastAsia="Times New Roman" w:hAnsi="Courier New" w:cs="Courier New"/>
          <w:sz w:val="20"/>
          <w:szCs w:val="20"/>
          <w:lang w:eastAsia="en-IN"/>
        </w:rPr>
        <w:t>wrapr</w:t>
      </w:r>
      <w:r w:rsidRPr="00475018">
        <w:rPr>
          <w:rFonts w:ascii="Times New Roman" w:eastAsia="Times New Roman" w:hAnsi="Times New Roman" w:cs="Times New Roman"/>
          <w:sz w:val="20"/>
          <w:szCs w:val="20"/>
          <w:lang w:eastAsia="en-IN"/>
        </w:rPr>
        <w:t xml:space="preserve"> yet, but it is testing well in the development version.</w:t>
      </w:r>
    </w:p>
    <w:p w14:paraId="5370EE29"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097"/>
    <w:multiLevelType w:val="multilevel"/>
    <w:tmpl w:val="3A20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D1301"/>
    <w:multiLevelType w:val="multilevel"/>
    <w:tmpl w:val="835E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81A7F"/>
    <w:multiLevelType w:val="multilevel"/>
    <w:tmpl w:val="641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F47C0"/>
    <w:multiLevelType w:val="multilevel"/>
    <w:tmpl w:val="90E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18"/>
    <w:rsid w:val="0028704C"/>
    <w:rsid w:val="00475018"/>
    <w:rsid w:val="00C9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BF92"/>
  <w15:chartTrackingRefBased/>
  <w15:docId w15:val="{6D638F62-F175-429B-9127-63815B55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70618">
      <w:bodyDiv w:val="1"/>
      <w:marLeft w:val="0"/>
      <w:marRight w:val="0"/>
      <w:marTop w:val="0"/>
      <w:marBottom w:val="0"/>
      <w:divBdr>
        <w:top w:val="none" w:sz="0" w:space="0" w:color="auto"/>
        <w:left w:val="none" w:sz="0" w:space="0" w:color="auto"/>
        <w:bottom w:val="none" w:sz="0" w:space="0" w:color="auto"/>
        <w:right w:val="none" w:sz="0" w:space="0" w:color="auto"/>
      </w:divBdr>
      <w:divsChild>
        <w:div w:id="1495494355">
          <w:marLeft w:val="0"/>
          <w:marRight w:val="0"/>
          <w:marTop w:val="0"/>
          <w:marBottom w:val="0"/>
          <w:divBdr>
            <w:top w:val="none" w:sz="0" w:space="0" w:color="auto"/>
            <w:left w:val="none" w:sz="0" w:space="0" w:color="auto"/>
            <w:bottom w:val="none" w:sz="0" w:space="0" w:color="auto"/>
            <w:right w:val="none" w:sz="0" w:space="0" w:color="auto"/>
          </w:divBdr>
        </w:div>
        <w:div w:id="847451939">
          <w:marLeft w:val="0"/>
          <w:marRight w:val="0"/>
          <w:marTop w:val="0"/>
          <w:marBottom w:val="0"/>
          <w:divBdr>
            <w:top w:val="none" w:sz="0" w:space="0" w:color="auto"/>
            <w:left w:val="none" w:sz="0" w:space="0" w:color="auto"/>
            <w:bottom w:val="none" w:sz="0" w:space="0" w:color="auto"/>
            <w:right w:val="none" w:sz="0" w:space="0" w:color="auto"/>
          </w:divBdr>
        </w:div>
        <w:div w:id="979729370">
          <w:marLeft w:val="0"/>
          <w:marRight w:val="0"/>
          <w:marTop w:val="0"/>
          <w:marBottom w:val="0"/>
          <w:divBdr>
            <w:top w:val="none" w:sz="0" w:space="0" w:color="auto"/>
            <w:left w:val="none" w:sz="0" w:space="0" w:color="auto"/>
            <w:bottom w:val="none" w:sz="0" w:space="0" w:color="auto"/>
            <w:right w:val="none" w:sz="0" w:space="0" w:color="auto"/>
          </w:divBdr>
        </w:div>
        <w:div w:id="187568006">
          <w:marLeft w:val="0"/>
          <w:marRight w:val="0"/>
          <w:marTop w:val="0"/>
          <w:marBottom w:val="0"/>
          <w:divBdr>
            <w:top w:val="none" w:sz="0" w:space="0" w:color="auto"/>
            <w:left w:val="none" w:sz="0" w:space="0" w:color="auto"/>
            <w:bottom w:val="none" w:sz="0" w:space="0" w:color="auto"/>
            <w:right w:val="none" w:sz="0" w:space="0" w:color="auto"/>
          </w:divBdr>
        </w:div>
        <w:div w:id="434709713">
          <w:marLeft w:val="0"/>
          <w:marRight w:val="0"/>
          <w:marTop w:val="0"/>
          <w:marBottom w:val="0"/>
          <w:divBdr>
            <w:top w:val="none" w:sz="0" w:space="0" w:color="auto"/>
            <w:left w:val="none" w:sz="0" w:space="0" w:color="auto"/>
            <w:bottom w:val="none" w:sz="0" w:space="0" w:color="auto"/>
            <w:right w:val="none" w:sz="0" w:space="0" w:color="auto"/>
          </w:divBdr>
        </w:div>
        <w:div w:id="1893498321">
          <w:marLeft w:val="0"/>
          <w:marRight w:val="0"/>
          <w:marTop w:val="0"/>
          <w:marBottom w:val="0"/>
          <w:divBdr>
            <w:top w:val="none" w:sz="0" w:space="0" w:color="auto"/>
            <w:left w:val="none" w:sz="0" w:space="0" w:color="auto"/>
            <w:bottom w:val="none" w:sz="0" w:space="0" w:color="auto"/>
            <w:right w:val="none" w:sz="0" w:space="0" w:color="auto"/>
          </w:divBdr>
        </w:div>
        <w:div w:id="1633562543">
          <w:marLeft w:val="0"/>
          <w:marRight w:val="0"/>
          <w:marTop w:val="0"/>
          <w:marBottom w:val="0"/>
          <w:divBdr>
            <w:top w:val="none" w:sz="0" w:space="0" w:color="auto"/>
            <w:left w:val="none" w:sz="0" w:space="0" w:color="auto"/>
            <w:bottom w:val="none" w:sz="0" w:space="0" w:color="auto"/>
            <w:right w:val="none" w:sz="0" w:space="0" w:color="auto"/>
          </w:divBdr>
        </w:div>
        <w:div w:id="16652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Vector/wrapr/blob/master/R/bquotefn.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nVector/wrapr/blob/master/R/bquotefn.R" TargetMode="External"/><Relationship Id="rId12" Type="http://schemas.openxmlformats.org/officeDocument/2006/relationships/hyperlink" Target="https://github.com/WinVector/wrapr/blob/master/R/bquotef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vector.github.io/wrapr/reference/let.html" TargetMode="External"/><Relationship Id="rId11" Type="http://schemas.openxmlformats.org/officeDocument/2006/relationships/hyperlink" Target="https://en.wikipedia.org/wiki/String_interpolation" TargetMode="External"/><Relationship Id="rId5" Type="http://schemas.openxmlformats.org/officeDocument/2006/relationships/hyperlink" Target="https://www.r-project.org/" TargetMode="External"/><Relationship Id="rId10" Type="http://schemas.openxmlformats.org/officeDocument/2006/relationships/hyperlink" Target="https://cran.r-project.org/package=glue" TargetMode="External"/><Relationship Id="rId4" Type="http://schemas.openxmlformats.org/officeDocument/2006/relationships/webSettings" Target="webSettings.xml"/><Relationship Id="rId9" Type="http://schemas.openxmlformats.org/officeDocument/2006/relationships/hyperlink" Target="https://www.python.org/dev/peps/pep-04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2021-12-10T08:23:00Z</dcterms:created>
  <dcterms:modified xsi:type="dcterms:W3CDTF">2022-01-18T08:57:00Z</dcterms:modified>
</cp:coreProperties>
</file>