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0626" w14:textId="7FE693E6" w:rsidR="005F02D5" w:rsidRDefault="00615543">
      <w:pPr>
        <w:pStyle w:val="BodyText"/>
        <w:spacing w:before="62" w:line="292" w:lineRule="auto"/>
        <w:ind w:right="724"/>
        <w:jc w:val="both"/>
      </w:pPr>
      <w:r>
        <w:t>Most observers seem surprised that the regimen with only half an initial dosage showed a</w:t>
      </w:r>
      <w:r>
        <w:rPr>
          <w:spacing w:val="-56"/>
        </w:rPr>
        <w:t xml:space="preserve"> </w:t>
      </w:r>
      <w:r>
        <w:t>substantially</w:t>
      </w:r>
      <w:r>
        <w:rPr>
          <w:spacing w:val="-3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efficacy.</w:t>
      </w:r>
      <w:r>
        <w:rPr>
          <w:spacing w:val="-5"/>
        </w:rPr>
        <w:t xml:space="preserve"> </w:t>
      </w:r>
    </w:p>
    <w:p w14:paraId="1C76C4E3" w14:textId="77777777" w:rsidR="005F02D5" w:rsidRDefault="005F02D5">
      <w:pPr>
        <w:pStyle w:val="BodyText"/>
        <w:spacing w:before="11"/>
        <w:ind w:left="0"/>
        <w:rPr>
          <w:sz w:val="17"/>
        </w:rPr>
      </w:pPr>
    </w:p>
    <w:p w14:paraId="136BED38" w14:textId="77777777" w:rsidR="005F02D5" w:rsidRDefault="00615543">
      <w:pPr>
        <w:pStyle w:val="BodyText"/>
        <w:spacing w:line="292" w:lineRule="auto"/>
        <w:ind w:right="267"/>
      </w:pPr>
      <w:r>
        <w:t>This post first performs several educated guesses to reverse-engineer the underlying case</w:t>
      </w:r>
      <w:r>
        <w:rPr>
          <w:spacing w:val="1"/>
        </w:rPr>
        <w:t xml:space="preserve"> </w:t>
      </w:r>
      <w:r>
        <w:t xml:space="preserve">numbers from the press release. Then we follow </w:t>
      </w:r>
      <w:r>
        <w:rPr>
          <w:color w:val="1154CC"/>
        </w:rPr>
        <w:t>Bionte</w:t>
      </w:r>
      <w:r>
        <w:rPr>
          <w:color w:val="1154CC"/>
        </w:rPr>
        <w:t xml:space="preserve">ch/Pfizer’s Bayesian analysis </w:t>
      </w:r>
      <w:r>
        <w:t>approach</w:t>
      </w:r>
      <w:r>
        <w:rPr>
          <w:spacing w:val="-56"/>
        </w:rPr>
        <w:t xml:space="preserve"> </w:t>
      </w:r>
      <w:r>
        <w:t>to compare the posterior distributions of AstraZeneca’s two dosage regimens with those of the</w:t>
      </w:r>
      <w:r>
        <w:rPr>
          <w:spacing w:val="-56"/>
        </w:rPr>
        <w:t xml:space="preserve"> </w:t>
      </w:r>
      <w:r>
        <w:t>Biontech/Pfizer</w:t>
      </w:r>
      <w:r>
        <w:rPr>
          <w:spacing w:val="-4"/>
        </w:rPr>
        <w:t xml:space="preserve"> </w:t>
      </w:r>
      <w:r>
        <w:t>and Moderna trials.</w:t>
      </w:r>
    </w:p>
    <w:p w14:paraId="2E782C07" w14:textId="77777777" w:rsidR="005F02D5" w:rsidRDefault="005F02D5">
      <w:pPr>
        <w:pStyle w:val="BodyText"/>
        <w:spacing w:before="1"/>
        <w:ind w:left="0"/>
        <w:rPr>
          <w:sz w:val="18"/>
        </w:rPr>
      </w:pPr>
    </w:p>
    <w:p w14:paraId="533DC23D" w14:textId="77777777" w:rsidR="005F02D5" w:rsidRDefault="00615543">
      <w:pPr>
        <w:pStyle w:val="BodyText"/>
        <w:spacing w:before="1" w:line="290" w:lineRule="auto"/>
        <w:ind w:right="267"/>
      </w:pPr>
      <w:r>
        <w:rPr>
          <w:w w:val="95"/>
        </w:rPr>
        <w:t>Let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s1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denote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share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131</w:t>
      </w:r>
      <w:r>
        <w:rPr>
          <w:spacing w:val="20"/>
          <w:w w:val="95"/>
        </w:rPr>
        <w:t xml:space="preserve"> </w:t>
      </w:r>
      <w:r>
        <w:rPr>
          <w:w w:val="95"/>
        </w:rPr>
        <w:t>Covid</w:t>
      </w:r>
      <w:r>
        <w:rPr>
          <w:spacing w:val="20"/>
          <w:w w:val="95"/>
        </w:rPr>
        <w:t xml:space="preserve"> </w:t>
      </w:r>
      <w:r>
        <w:rPr>
          <w:w w:val="95"/>
        </w:rPr>
        <w:t>cases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accrued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w w:val="95"/>
        </w:rPr>
        <w:t>dosage</w:t>
      </w:r>
      <w:r>
        <w:rPr>
          <w:spacing w:val="20"/>
          <w:w w:val="95"/>
        </w:rPr>
        <w:t xml:space="preserve"> </w:t>
      </w:r>
      <w:r>
        <w:rPr>
          <w:w w:val="95"/>
        </w:rPr>
        <w:t>regimen.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ignore rounding errors in the stated efficacy, we can compute it from the equation that</w:t>
      </w:r>
      <w:r>
        <w:rPr>
          <w:spacing w:val="1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70%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dosage</w:t>
      </w:r>
      <w:r>
        <w:rPr>
          <w:spacing w:val="-1"/>
        </w:rPr>
        <w:t xml:space="preserve"> </w:t>
      </w:r>
      <w:r>
        <w:t>regimens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solving</w:t>
      </w:r>
    </w:p>
    <w:p w14:paraId="035172C2" w14:textId="77777777" w:rsidR="005F02D5" w:rsidRDefault="005F02D5">
      <w:pPr>
        <w:pStyle w:val="BodyText"/>
        <w:ind w:left="0"/>
        <w:rPr>
          <w:sz w:val="19"/>
        </w:rPr>
      </w:pPr>
    </w:p>
    <w:p w14:paraId="66AC32B9" w14:textId="77777777" w:rsidR="005F02D5" w:rsidRDefault="00615543">
      <w:pPr>
        <w:pStyle w:val="BodyText"/>
        <w:rPr>
          <w:rFonts w:ascii="Courier New"/>
        </w:rPr>
      </w:pPr>
      <w:r>
        <w:rPr>
          <w:rFonts w:ascii="Courier New"/>
        </w:rPr>
        <w:t>0.9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s1 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0.62*(1-s_1)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0.7</w:t>
      </w:r>
    </w:p>
    <w:p w14:paraId="7722D087" w14:textId="77777777" w:rsidR="005F02D5" w:rsidRDefault="005F02D5">
      <w:pPr>
        <w:pStyle w:val="BodyText"/>
        <w:spacing w:before="3"/>
        <w:ind w:left="0"/>
        <w:rPr>
          <w:rFonts w:ascii="Courier New"/>
          <w:sz w:val="23"/>
        </w:rPr>
      </w:pPr>
    </w:p>
    <w:p w14:paraId="0DA6BC6A" w14:textId="77777777" w:rsidR="005F02D5" w:rsidRDefault="00615543">
      <w:pPr>
        <w:pStyle w:val="BodyText"/>
      </w:pPr>
      <w:r>
        <w:t>which</w:t>
      </w:r>
      <w:r>
        <w:rPr>
          <w:spacing w:val="-2"/>
        </w:rPr>
        <w:t xml:space="preserve"> </w:t>
      </w:r>
      <w:r>
        <w:t>yields</w:t>
      </w:r>
      <w:r>
        <w:rPr>
          <w:spacing w:val="-1"/>
        </w:rPr>
        <w:t xml:space="preserve"> </w:t>
      </w:r>
      <w:r>
        <w:rPr>
          <w:rFonts w:ascii="Courier New"/>
        </w:rPr>
        <w:t>s1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2/7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28.6%</w:t>
      </w:r>
      <w:r>
        <w:t>.</w:t>
      </w:r>
    </w:p>
    <w:p w14:paraId="5096DB3D" w14:textId="77777777" w:rsidR="005F02D5" w:rsidRDefault="005F02D5">
      <w:pPr>
        <w:pStyle w:val="BodyText"/>
        <w:spacing w:before="10"/>
        <w:ind w:left="0"/>
        <w:rPr>
          <w:sz w:val="22"/>
        </w:rPr>
      </w:pPr>
    </w:p>
    <w:p w14:paraId="46659DDC" w14:textId="77777777" w:rsidR="005F02D5" w:rsidRDefault="00615543">
      <w:pPr>
        <w:pStyle w:val="BodyText"/>
        <w:spacing w:line="292" w:lineRule="auto"/>
        <w:ind w:right="338"/>
      </w:pPr>
      <w:r>
        <w:t>So while approximately 28.6% of the 131 Covid-19 cases come from the first, smaller dosing</w:t>
      </w:r>
      <w:r>
        <w:rPr>
          <w:spacing w:val="1"/>
        </w:rPr>
        <w:t xml:space="preserve"> </w:t>
      </w:r>
      <w:r>
        <w:t>regimen only 2741 / 11637 = 23.6% of the participants are from that regimen. Given that the</w:t>
      </w:r>
      <w:r>
        <w:rPr>
          <w:spacing w:val="1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dosing</w:t>
      </w:r>
      <w:r>
        <w:rPr>
          <w:spacing w:val="-4"/>
        </w:rPr>
        <w:t xml:space="preserve"> </w:t>
      </w:r>
      <w:r>
        <w:t>regimen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efficacy,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suspected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is smaller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 23.6%</w:t>
      </w:r>
      <w:r>
        <w:rPr>
          <w:spacing w:val="1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participants.</w:t>
      </w:r>
    </w:p>
    <w:p w14:paraId="4365CD93" w14:textId="77777777" w:rsidR="005F02D5" w:rsidRDefault="00615543">
      <w:pPr>
        <w:pStyle w:val="BodyText"/>
        <w:spacing w:line="292" w:lineRule="auto"/>
      </w:pP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dosing regimen</w:t>
      </w:r>
      <w:r>
        <w:rPr>
          <w:spacing w:val="-3"/>
        </w:rPr>
        <w:t xml:space="preserve"> </w:t>
      </w:r>
      <w:r>
        <w:t>than in the</w:t>
      </w:r>
      <w:r>
        <w:rPr>
          <w:spacing w:val="-1"/>
        </w:rPr>
        <w:t xml:space="preserve"> </w:t>
      </w:r>
      <w:r>
        <w:t>second one.</w:t>
      </w:r>
    </w:p>
    <w:p w14:paraId="338C5346" w14:textId="77777777" w:rsidR="005F02D5" w:rsidRDefault="005F02D5">
      <w:pPr>
        <w:pStyle w:val="BodyText"/>
        <w:ind w:left="0"/>
        <w:rPr>
          <w:sz w:val="18"/>
        </w:rPr>
      </w:pPr>
    </w:p>
    <w:p w14:paraId="29637A39" w14:textId="77777777" w:rsidR="005F02D5" w:rsidRDefault="00615543">
      <w:pPr>
        <w:pStyle w:val="BodyText"/>
      </w:pP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AstraZeneca’s</w:t>
      </w:r>
      <w:r>
        <w:rPr>
          <w:spacing w:val="-5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detail,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read</w:t>
      </w:r>
    </w:p>
    <w:p w14:paraId="6854B5B8" w14:textId="77777777" w:rsidR="005F02D5" w:rsidRDefault="005F02D5">
      <w:pPr>
        <w:pStyle w:val="BodyText"/>
        <w:spacing w:before="10"/>
        <w:ind w:left="0"/>
        <w:rPr>
          <w:sz w:val="22"/>
        </w:rPr>
      </w:pPr>
    </w:p>
    <w:p w14:paraId="14CC4BF5" w14:textId="77777777" w:rsidR="005F02D5" w:rsidRDefault="00615543">
      <w:pPr>
        <w:pStyle w:val="BodyText"/>
        <w:spacing w:line="290" w:lineRule="auto"/>
        <w:ind w:left="705" w:right="787"/>
      </w:pPr>
      <w:r>
        <w:t>The pooled analysis included data from the COV002 Phase II/III trial in the UK and</w:t>
      </w:r>
      <w:r>
        <w:rPr>
          <w:spacing w:val="-57"/>
        </w:rPr>
        <w:t xml:space="preserve"> </w:t>
      </w:r>
      <w:r>
        <w:t>COV003</w:t>
      </w:r>
      <w:r>
        <w:rPr>
          <w:spacing w:val="-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III trial</w:t>
      </w:r>
      <w:r>
        <w:rPr>
          <w:spacing w:val="-1"/>
        </w:rPr>
        <w:t xml:space="preserve"> </w:t>
      </w:r>
      <w:r>
        <w:t>in Brazil.</w:t>
      </w:r>
    </w:p>
    <w:p w14:paraId="7C8AAFFF" w14:textId="77777777" w:rsidR="005F02D5" w:rsidRDefault="005F02D5">
      <w:pPr>
        <w:pStyle w:val="BodyText"/>
        <w:spacing w:before="5"/>
        <w:ind w:left="0"/>
        <w:rPr>
          <w:sz w:val="18"/>
        </w:rPr>
      </w:pPr>
    </w:p>
    <w:p w14:paraId="6F8EBA1A" w14:textId="77777777" w:rsidR="005F02D5" w:rsidRDefault="00615543">
      <w:pPr>
        <w:pStyle w:val="BodyText"/>
        <w:spacing w:line="292" w:lineRule="auto"/>
        <w:ind w:right="283"/>
      </w:pPr>
      <w:r>
        <w:t>A description of the UK and Brazil trials reveals that the UK trial had both dosing regimens,</w:t>
      </w:r>
      <w:r>
        <w:rPr>
          <w:spacing w:val="1"/>
        </w:rPr>
        <w:t xml:space="preserve"> </w:t>
      </w:r>
      <w:r>
        <w:t>while the Brazil trial only had the second larger dosing regimen. A quick internet search did not</w:t>
      </w:r>
      <w:r>
        <w:rPr>
          <w:spacing w:val="-56"/>
        </w:rPr>
        <w:t xml:space="preserve"> </w:t>
      </w:r>
      <w:r>
        <w:t>confirm that the Covid-19 risk was smaller in Brazil than in the</w:t>
      </w:r>
      <w:r>
        <w:t xml:space="preserve"> UK. Yet, the UK trial may well</w:t>
      </w:r>
      <w:r>
        <w:rPr>
          <w:spacing w:val="1"/>
        </w:rPr>
        <w:t xml:space="preserve"> </w:t>
      </w:r>
      <w:r>
        <w:t>have started earlier than the Brazil trial, which would give participants more time to catch</w:t>
      </w:r>
      <w:r>
        <w:rPr>
          <w:spacing w:val="1"/>
        </w:rPr>
        <w:t xml:space="preserve"> </w:t>
      </w:r>
      <w:r>
        <w:t>Covid-19. That might explain the relative high Covid-19 case proportion in the smaller dosing</w:t>
      </w:r>
      <w:r>
        <w:rPr>
          <w:spacing w:val="1"/>
        </w:rPr>
        <w:t xml:space="preserve"> </w:t>
      </w:r>
      <w:r>
        <w:t>regimen.</w:t>
      </w:r>
    </w:p>
    <w:p w14:paraId="51866A03" w14:textId="77777777" w:rsidR="005F02D5" w:rsidRDefault="005F02D5">
      <w:pPr>
        <w:pStyle w:val="BodyText"/>
        <w:spacing w:before="1"/>
        <w:ind w:left="0"/>
        <w:rPr>
          <w:sz w:val="18"/>
        </w:rPr>
      </w:pPr>
    </w:p>
    <w:p w14:paraId="2C9DC497" w14:textId="77777777" w:rsidR="005F02D5" w:rsidRDefault="00615543">
      <w:pPr>
        <w:pStyle w:val="BodyText"/>
        <w:rPr>
          <w:rFonts w:ascii="Courier New"/>
        </w:rPr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ign</w:t>
      </w:r>
      <w:r>
        <w:t>ore</w:t>
      </w:r>
      <w:r>
        <w:rPr>
          <w:spacing w:val="-2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rFonts w:ascii="Courier New"/>
        </w:rPr>
        <w:t>m1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(2/7)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131</w:t>
      </w:r>
    </w:p>
    <w:p w14:paraId="3B8BA3FB" w14:textId="77777777" w:rsidR="005F02D5" w:rsidRDefault="00615543">
      <w:pPr>
        <w:pStyle w:val="BodyText"/>
        <w:spacing w:before="54" w:line="288" w:lineRule="auto"/>
        <w:ind w:right="223"/>
      </w:pPr>
      <w:r>
        <w:rPr>
          <w:rFonts w:ascii="Courier New"/>
          <w:w w:val="95"/>
        </w:rPr>
        <w:t>=</w:t>
      </w:r>
      <w:r>
        <w:rPr>
          <w:rFonts w:ascii="Courier New"/>
          <w:spacing w:val="47"/>
          <w:w w:val="95"/>
        </w:rPr>
        <w:t xml:space="preserve"> </w:t>
      </w:r>
      <w:r>
        <w:rPr>
          <w:rFonts w:ascii="Courier New"/>
          <w:w w:val="95"/>
        </w:rPr>
        <w:t>37.42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cases</w:t>
      </w:r>
      <w:r>
        <w:rPr>
          <w:spacing w:val="21"/>
          <w:w w:val="95"/>
        </w:rPr>
        <w:t xml:space="preserve"> </w:t>
      </w:r>
      <w:r>
        <w:rPr>
          <w:w w:val="95"/>
        </w:rPr>
        <w:t>were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smaller</w:t>
      </w:r>
      <w:r>
        <w:rPr>
          <w:spacing w:val="23"/>
          <w:w w:val="95"/>
        </w:rPr>
        <w:t xml:space="preserve"> </w:t>
      </w:r>
      <w:r>
        <w:rPr>
          <w:w w:val="95"/>
        </w:rPr>
        <w:t>dosing</w:t>
      </w:r>
      <w:r>
        <w:rPr>
          <w:spacing w:val="21"/>
          <w:w w:val="95"/>
        </w:rPr>
        <w:t xml:space="preserve"> </w:t>
      </w:r>
      <w:r>
        <w:rPr>
          <w:w w:val="95"/>
        </w:rPr>
        <w:t>regimen.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next</w:t>
      </w:r>
      <w:r>
        <w:rPr>
          <w:spacing w:val="19"/>
          <w:w w:val="95"/>
        </w:rPr>
        <w:t xml:space="preserve"> </w:t>
      </w:r>
      <w:r>
        <w:rPr>
          <w:w w:val="95"/>
        </w:rPr>
        <w:t>step,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want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compute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number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Covid-19</w:t>
      </w:r>
      <w:r>
        <w:rPr>
          <w:spacing w:val="1"/>
          <w:w w:val="95"/>
        </w:rPr>
        <w:t xml:space="preserve"> </w:t>
      </w:r>
      <w:r>
        <w:rPr>
          <w:w w:val="95"/>
        </w:rPr>
        <w:t>cases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mv1 </w:t>
      </w:r>
      <w:r>
        <w:rPr>
          <w:w w:val="95"/>
        </w:rPr>
        <w:t>from the</w:t>
      </w:r>
      <w:r>
        <w:rPr>
          <w:spacing w:val="1"/>
          <w:w w:val="95"/>
        </w:rPr>
        <w:t xml:space="preserve"> </w:t>
      </w:r>
      <w:r>
        <w:rPr>
          <w:w w:val="95"/>
        </w:rPr>
        <w:t>vaccinated</w:t>
      </w:r>
      <w:r>
        <w:rPr>
          <w:spacing w:val="1"/>
          <w:w w:val="95"/>
        </w:rPr>
        <w:t xml:space="preserve"> </w:t>
      </w:r>
      <w:r>
        <w:rPr>
          <w:w w:val="95"/>
        </w:rPr>
        <w:t>treatment group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52"/>
        </w:rPr>
        <w:t xml:space="preserve"> </w:t>
      </w:r>
      <w:r>
        <w:rPr>
          <w:w w:val="95"/>
        </w:rPr>
        <w:t>the smaller</w:t>
      </w:r>
      <w:r>
        <w:rPr>
          <w:spacing w:val="53"/>
        </w:rPr>
        <w:t xml:space="preserve"> </w:t>
      </w:r>
      <w:r>
        <w:rPr>
          <w:w w:val="95"/>
        </w:rPr>
        <w:t>dosing</w:t>
      </w:r>
      <w:r>
        <w:rPr>
          <w:spacing w:val="1"/>
          <w:w w:val="95"/>
        </w:rPr>
        <w:t xml:space="preserve"> </w:t>
      </w:r>
      <w:r>
        <w:t>regimen,</w:t>
      </w:r>
      <w:r>
        <w:rPr>
          <w:spacing w:val="-3"/>
        </w:rPr>
        <w:t xml:space="preserve"> </w:t>
      </w:r>
      <w:r>
        <w:t>using the reported</w:t>
      </w:r>
      <w:r>
        <w:rPr>
          <w:spacing w:val="-3"/>
        </w:rPr>
        <w:t xml:space="preserve"> </w:t>
      </w:r>
      <w:r>
        <w:t>efficacy of</w:t>
      </w:r>
      <w:r>
        <w:rPr>
          <w:spacing w:val="-1"/>
        </w:rPr>
        <w:t xml:space="preserve"> </w:t>
      </w:r>
      <w:r>
        <w:rPr>
          <w:rFonts w:ascii="Courier New"/>
        </w:rPr>
        <w:t>VE1=90%</w:t>
      </w:r>
      <w:r>
        <w:t>.</w:t>
      </w:r>
    </w:p>
    <w:p w14:paraId="771EA6D4" w14:textId="77777777" w:rsidR="005F02D5" w:rsidRDefault="005F02D5">
      <w:pPr>
        <w:pStyle w:val="BodyText"/>
        <w:spacing w:before="9"/>
        <w:ind w:left="0"/>
        <w:rPr>
          <w:sz w:val="19"/>
        </w:rPr>
      </w:pPr>
    </w:p>
    <w:p w14:paraId="6DF2FA44" w14:textId="77777777" w:rsidR="005F02D5" w:rsidRDefault="00615543">
      <w:pPr>
        <w:pStyle w:val="BodyText"/>
        <w:spacing w:line="288" w:lineRule="auto"/>
        <w:ind w:right="194"/>
      </w:pP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first</w:t>
      </w:r>
      <w:r>
        <w:rPr>
          <w:spacing w:val="1"/>
          <w:w w:val="95"/>
        </w:rPr>
        <w:t xml:space="preserve"> </w:t>
      </w:r>
      <w:r>
        <w:rPr>
          <w:w w:val="95"/>
        </w:rPr>
        <w:t>compute for the</w:t>
      </w:r>
      <w:r>
        <w:rPr>
          <w:spacing w:val="52"/>
        </w:rPr>
        <w:t xml:space="preserve"> </w:t>
      </w:r>
      <w:r>
        <w:rPr>
          <w:w w:val="95"/>
        </w:rPr>
        <w:t>smaller dosing</w:t>
      </w:r>
      <w:r>
        <w:rPr>
          <w:spacing w:val="53"/>
        </w:rPr>
        <w:t xml:space="preserve"> </w:t>
      </w:r>
      <w:r>
        <w:rPr>
          <w:w w:val="95"/>
        </w:rPr>
        <w:t>regimen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 xml:space="preserve">helper parameter </w:t>
      </w:r>
      <w:r>
        <w:rPr>
          <w:rFonts w:ascii="Courier New"/>
          <w:w w:val="95"/>
        </w:rPr>
        <w:t xml:space="preserve">theta1 </w:t>
      </w:r>
      <w:r>
        <w:rPr>
          <w:w w:val="95"/>
        </w:rPr>
        <w:t>that</w:t>
      </w:r>
      <w:r>
        <w:rPr>
          <w:spacing w:val="52"/>
        </w:rPr>
        <w:t xml:space="preserve"> </w:t>
      </w:r>
      <w:r>
        <w:rPr>
          <w:w w:val="95"/>
        </w:rPr>
        <w:t>shall</w:t>
      </w:r>
      <w:r>
        <w:rPr>
          <w:spacing w:val="1"/>
          <w:w w:val="95"/>
        </w:rPr>
        <w:t xml:space="preserve"> </w:t>
      </w:r>
      <w:r>
        <w:rPr>
          <w:w w:val="95"/>
        </w:rPr>
        <w:t>measure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share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m1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Covid-19</w:t>
      </w:r>
      <w:r>
        <w:rPr>
          <w:spacing w:val="25"/>
          <w:w w:val="95"/>
        </w:rPr>
        <w:t xml:space="preserve"> </w:t>
      </w:r>
      <w:r>
        <w:rPr>
          <w:w w:val="95"/>
        </w:rPr>
        <w:t>cases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were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vaccinated</w:t>
      </w:r>
      <w:r>
        <w:rPr>
          <w:spacing w:val="24"/>
          <w:w w:val="95"/>
        </w:rPr>
        <w:t xml:space="preserve"> </w:t>
      </w:r>
      <w:r>
        <w:rPr>
          <w:w w:val="95"/>
        </w:rPr>
        <w:t>subjects.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compute</w:t>
      </w:r>
      <w:r>
        <w:rPr>
          <w:spacing w:val="25"/>
          <w:w w:val="95"/>
        </w:rPr>
        <w:t xml:space="preserve"> </w:t>
      </w:r>
      <w:r>
        <w:rPr>
          <w:w w:val="95"/>
        </w:rPr>
        <w:t>it,</w:t>
      </w:r>
      <w:r>
        <w:rPr>
          <w:spacing w:val="1"/>
          <w:w w:val="9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assumption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group.</w:t>
      </w:r>
    </w:p>
    <w:p w14:paraId="1D77E83C" w14:textId="259780DD" w:rsidR="005F02D5" w:rsidRDefault="00615543">
      <w:pPr>
        <w:pStyle w:val="BodyText"/>
        <w:spacing w:before="15" w:line="290" w:lineRule="auto"/>
        <w:ind w:right="267"/>
      </w:pPr>
      <w:r>
        <w:t xml:space="preserve">Since no information is given in the press release, let us </w:t>
      </w:r>
      <w:r>
        <w:rPr>
          <w:rFonts w:ascii="Arial"/>
          <w:i/>
        </w:rPr>
        <w:t xml:space="preserve">assume </w:t>
      </w:r>
      <w:r>
        <w:t>that AstraZeneca has a 1:1</w:t>
      </w:r>
      <w:r>
        <w:rPr>
          <w:spacing w:val="1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Biontech/Pfizer.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</w:p>
    <w:p w14:paraId="1C14FE12" w14:textId="77777777" w:rsidR="005F02D5" w:rsidRDefault="005F02D5">
      <w:pPr>
        <w:pStyle w:val="BodyText"/>
        <w:spacing w:before="4"/>
        <w:ind w:left="0"/>
        <w:rPr>
          <w:sz w:val="20"/>
        </w:rPr>
      </w:pPr>
    </w:p>
    <w:p w14:paraId="6C63BBD3" w14:textId="77777777" w:rsidR="005F02D5" w:rsidRDefault="00615543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theta1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(1-VE1)/(2-VE1)</w:t>
      </w:r>
    </w:p>
    <w:p w14:paraId="49296BD6" w14:textId="77777777" w:rsidR="005F02D5" w:rsidRDefault="005F02D5">
      <w:pPr>
        <w:pStyle w:val="BodyText"/>
        <w:spacing w:before="4"/>
        <w:ind w:left="0"/>
        <w:rPr>
          <w:rFonts w:ascii="Courier New"/>
          <w:sz w:val="23"/>
        </w:rPr>
      </w:pPr>
    </w:p>
    <w:p w14:paraId="551AD705" w14:textId="77777777" w:rsidR="005F02D5" w:rsidRDefault="00615543">
      <w:pPr>
        <w:pStyle w:val="BodyText"/>
        <w:spacing w:before="1" w:line="290" w:lineRule="auto"/>
        <w:ind w:right="267"/>
      </w:pP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compute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mv1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well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cases</w:t>
      </w:r>
      <w:r>
        <w:rPr>
          <w:spacing w:val="21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control</w:t>
      </w:r>
      <w:r>
        <w:rPr>
          <w:spacing w:val="20"/>
          <w:w w:val="95"/>
        </w:rPr>
        <w:t xml:space="preserve"> </w:t>
      </w:r>
      <w:r>
        <w:rPr>
          <w:w w:val="95"/>
        </w:rPr>
        <w:t>group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mc1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smaller</w:t>
      </w:r>
      <w:r>
        <w:rPr>
          <w:spacing w:val="1"/>
          <w:w w:val="95"/>
        </w:rPr>
        <w:t xml:space="preserve"> </w:t>
      </w:r>
      <w:r>
        <w:t>dosing regimen. The following R code computes in this fashion all relevant case numbers for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dosing regimens:</w:t>
      </w:r>
    </w:p>
    <w:p w14:paraId="01B7B256" w14:textId="77777777" w:rsidR="005F02D5" w:rsidRDefault="005F02D5">
      <w:pPr>
        <w:spacing w:line="290" w:lineRule="auto"/>
        <w:sectPr w:rsidR="005F02D5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F4146B5" w14:textId="77777777" w:rsidR="005F02D5" w:rsidRDefault="00615543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13</w:t>
      </w:r>
    </w:p>
    <w:p w14:paraId="06429A2D" w14:textId="77777777" w:rsidR="005F02D5" w:rsidRDefault="005F02D5">
      <w:pPr>
        <w:pStyle w:val="BodyText"/>
        <w:spacing w:before="10"/>
        <w:ind w:left="0"/>
        <w:rPr>
          <w:rFonts w:ascii="Courier New"/>
          <w:sz w:val="30"/>
        </w:rPr>
      </w:pPr>
    </w:p>
    <w:p w14:paraId="442163AC" w14:textId="77777777" w:rsidR="005F02D5" w:rsidRDefault="00615543">
      <w:pPr>
        <w:pStyle w:val="BodyText"/>
        <w:spacing w:before="1" w:line="295" w:lineRule="auto"/>
        <w:ind w:right="7658"/>
        <w:rPr>
          <w:rFonts w:ascii="Courier New"/>
        </w:rPr>
      </w:pPr>
      <w:r>
        <w:rPr>
          <w:rFonts w:ascii="Courier New"/>
        </w:rPr>
        <w:t>m1 = m*(2/7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0.</w:t>
      </w:r>
    </w:p>
    <w:p w14:paraId="4FF9A795" w14:textId="77777777" w:rsidR="005F02D5" w:rsidRDefault="00615543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theta1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(1-VE1)/(2-VE1)</w:t>
      </w:r>
    </w:p>
    <w:p w14:paraId="379EE0C3" w14:textId="77777777" w:rsidR="005F02D5" w:rsidRDefault="005F02D5">
      <w:pPr>
        <w:pStyle w:val="BodyText"/>
        <w:spacing w:before="10"/>
        <w:ind w:left="0"/>
        <w:rPr>
          <w:rFonts w:ascii="Courier New"/>
          <w:sz w:val="30"/>
        </w:rPr>
      </w:pPr>
    </w:p>
    <w:p w14:paraId="65216650" w14:textId="77777777" w:rsidR="005F02D5" w:rsidRDefault="00615543">
      <w:pPr>
        <w:pStyle w:val="BodyText"/>
        <w:spacing w:before="1" w:line="295" w:lineRule="auto"/>
        <w:ind w:right="7280"/>
        <w:rPr>
          <w:rFonts w:ascii="Courier New"/>
        </w:rPr>
      </w:pPr>
      <w:r>
        <w:rPr>
          <w:rFonts w:ascii="Courier New"/>
        </w:rPr>
        <w:t>mv1 = theta1*m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mc1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m1-mv</w:t>
      </w:r>
    </w:p>
    <w:p w14:paraId="4D5F0439" w14:textId="77777777" w:rsidR="005F02D5" w:rsidRDefault="005F02D5">
      <w:pPr>
        <w:pStyle w:val="BodyText"/>
        <w:ind w:left="0"/>
        <w:rPr>
          <w:rFonts w:ascii="Courier New"/>
          <w:sz w:val="26"/>
        </w:rPr>
      </w:pPr>
    </w:p>
    <w:p w14:paraId="5131CD88" w14:textId="77777777" w:rsidR="005F02D5" w:rsidRDefault="00615543">
      <w:pPr>
        <w:pStyle w:val="BodyText"/>
        <w:spacing w:before="1" w:line="297" w:lineRule="auto"/>
        <w:ind w:right="7658"/>
        <w:rPr>
          <w:rFonts w:ascii="Courier New"/>
        </w:rPr>
      </w:pPr>
      <w:r>
        <w:rPr>
          <w:rFonts w:ascii="Courier New"/>
        </w:rPr>
        <w:t>m2 = m*(5/7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VE2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0.6</w:t>
      </w:r>
    </w:p>
    <w:p w14:paraId="7EA6B78A" w14:textId="77777777" w:rsidR="005F02D5" w:rsidRDefault="00615543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theta2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(1-VE2)/(2-VE2)</w:t>
      </w:r>
    </w:p>
    <w:p w14:paraId="5CDC20DE" w14:textId="77777777" w:rsidR="005F02D5" w:rsidRDefault="005F02D5">
      <w:pPr>
        <w:pStyle w:val="BodyText"/>
        <w:spacing w:before="10"/>
        <w:ind w:left="0"/>
        <w:rPr>
          <w:rFonts w:ascii="Courier New"/>
          <w:sz w:val="30"/>
        </w:rPr>
      </w:pPr>
    </w:p>
    <w:p w14:paraId="03E5C8AF" w14:textId="77777777" w:rsidR="005F02D5" w:rsidRDefault="00615543">
      <w:pPr>
        <w:pStyle w:val="BodyText"/>
        <w:spacing w:line="297" w:lineRule="auto"/>
        <w:ind w:right="7280"/>
        <w:rPr>
          <w:rFonts w:ascii="Courier New"/>
        </w:rPr>
      </w:pPr>
      <w:r>
        <w:rPr>
          <w:rFonts w:ascii="Courier New"/>
        </w:rPr>
        <w:t>mv2 = theta2*m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mc2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m2-mv</w:t>
      </w:r>
    </w:p>
    <w:p w14:paraId="2150817F" w14:textId="77777777" w:rsidR="005F02D5" w:rsidRDefault="005F02D5">
      <w:pPr>
        <w:pStyle w:val="BodyText"/>
        <w:spacing w:before="10"/>
        <w:ind w:left="0"/>
        <w:rPr>
          <w:rFonts w:ascii="Courier New"/>
          <w:sz w:val="25"/>
        </w:rPr>
      </w:pPr>
    </w:p>
    <w:p w14:paraId="2884A726" w14:textId="77777777" w:rsidR="005F02D5" w:rsidRDefault="00615543">
      <w:pPr>
        <w:pStyle w:val="BodyText"/>
        <w:rPr>
          <w:rFonts w:ascii="Courier New"/>
        </w:rPr>
      </w:pPr>
      <w:r>
        <w:rPr>
          <w:rFonts w:ascii="Courier New"/>
        </w:rPr>
        <w:t>rbind(</w:t>
      </w:r>
    </w:p>
    <w:p w14:paraId="040D379F" w14:textId="77777777" w:rsidR="005F02D5" w:rsidRDefault="00615543">
      <w:pPr>
        <w:pStyle w:val="BodyText"/>
        <w:spacing w:before="54" w:line="297" w:lineRule="auto"/>
        <w:ind w:left="358" w:right="2743"/>
        <w:rPr>
          <w:rFonts w:ascii="Courier New"/>
        </w:rPr>
      </w:pPr>
      <w:r>
        <w:rPr>
          <w:rFonts w:ascii="Courier New"/>
        </w:rPr>
        <w:t>smaller_dosing = c(m=m1, mv=mv1,mc=mc1, VE=VE1),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larger_dosing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c(m=m2,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mv=mv2,mc=mc2,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VE=VE2)</w:t>
      </w:r>
    </w:p>
    <w:p w14:paraId="0A1B87F0" w14:textId="77777777" w:rsidR="005F02D5" w:rsidRDefault="00615543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D3AA600" w14:textId="77777777" w:rsidR="005F02D5" w:rsidRDefault="005F02D5">
      <w:pPr>
        <w:pStyle w:val="BodyText"/>
        <w:spacing w:before="10"/>
        <w:ind w:left="0"/>
        <w:rPr>
          <w:rFonts w:ascii="Courier New"/>
          <w:sz w:val="30"/>
        </w:rPr>
      </w:pPr>
    </w:p>
    <w:p w14:paraId="2DFF4776" w14:textId="77777777" w:rsidR="005F02D5" w:rsidRDefault="00615543">
      <w:pPr>
        <w:pStyle w:val="BodyText"/>
        <w:tabs>
          <w:tab w:val="left" w:pos="3254"/>
          <w:tab w:val="left" w:pos="4389"/>
          <w:tab w:val="left" w:pos="5521"/>
          <w:tab w:val="left" w:pos="6154"/>
        </w:tabs>
        <w:spacing w:line="297" w:lineRule="auto"/>
        <w:ind w:right="276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</w:t>
      </w:r>
      <w:r>
        <w:rPr>
          <w:rFonts w:ascii="Courier New"/>
        </w:rPr>
        <w:tab/>
        <w:t>mv</w:t>
      </w:r>
      <w:r>
        <w:rPr>
          <w:rFonts w:ascii="Courier New"/>
        </w:rPr>
        <w:tab/>
        <w:t>mc</w:t>
      </w:r>
      <w:r>
        <w:rPr>
          <w:rFonts w:ascii="Courier New"/>
        </w:rPr>
        <w:tab/>
      </w:r>
      <w:r>
        <w:rPr>
          <w:rFonts w:ascii="Courier New"/>
          <w:spacing w:val="-3"/>
        </w:rPr>
        <w:t>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smaller_dosing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37.42857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3.402597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34.02597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0.90</w:t>
      </w:r>
    </w:p>
    <w:p w14:paraId="35653E34" w14:textId="77777777" w:rsidR="005F02D5" w:rsidRDefault="00615543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larger_dosing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93.57143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25.766046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67.80</w:t>
      </w:r>
      <w:r>
        <w:rPr>
          <w:rFonts w:ascii="Courier New"/>
        </w:rPr>
        <w:t>538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0.62</w:t>
      </w:r>
    </w:p>
    <w:p w14:paraId="08101D8C" w14:textId="77777777" w:rsidR="005F02D5" w:rsidRDefault="005F02D5">
      <w:pPr>
        <w:pStyle w:val="BodyText"/>
        <w:spacing w:before="5"/>
        <w:ind w:left="0"/>
        <w:rPr>
          <w:rFonts w:ascii="Courier New"/>
          <w:sz w:val="23"/>
        </w:rPr>
      </w:pPr>
    </w:p>
    <w:p w14:paraId="6D4A305D" w14:textId="77777777" w:rsidR="005F02D5" w:rsidRDefault="00615543">
      <w:pPr>
        <w:pStyle w:val="BodyText"/>
        <w:spacing w:line="292" w:lineRule="auto"/>
        <w:ind w:right="223"/>
      </w:pPr>
      <w:r>
        <w:t>OK, the obvious problem remains that these case counts are no integer numbers. That is</w:t>
      </w:r>
      <w:r>
        <w:rPr>
          <w:spacing w:val="1"/>
        </w:rPr>
        <w:t xml:space="preserve"> </w:t>
      </w:r>
      <w:r>
        <w:t>probably due to the fact that the reported efficacy percentages are rounded. So we have to</w:t>
      </w:r>
      <w:r>
        <w:rPr>
          <w:spacing w:val="1"/>
        </w:rPr>
        <w:t xml:space="preserve"> </w:t>
      </w:r>
      <w:r>
        <w:t>guess integer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yield</w:t>
      </w:r>
      <w:r>
        <w:rPr>
          <w:spacing w:val="-5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plausible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rounded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numbers.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guess,</w:t>
      </w:r>
      <w:r>
        <w:rPr>
          <w:spacing w:val="-5"/>
        </w:rPr>
        <w:t xml:space="preserve"> </w:t>
      </w:r>
      <w:r>
        <w:t>let us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nearest</w:t>
      </w:r>
      <w:r>
        <w:rPr>
          <w:spacing w:val="-4"/>
        </w:rPr>
        <w:t xml:space="preserve"> </w:t>
      </w:r>
      <w:r>
        <w:t>integers:</w:t>
      </w:r>
    </w:p>
    <w:p w14:paraId="522E5BF1" w14:textId="77777777" w:rsidR="005F02D5" w:rsidRDefault="005F02D5">
      <w:pPr>
        <w:pStyle w:val="BodyText"/>
        <w:spacing w:before="2"/>
        <w:ind w:left="0"/>
        <w:rPr>
          <w:sz w:val="18"/>
        </w:rPr>
      </w:pPr>
    </w:p>
    <w:p w14:paraId="578A05A4" w14:textId="77777777" w:rsidR="005F02D5" w:rsidRDefault="00615543">
      <w:pPr>
        <w:pStyle w:val="BodyText"/>
        <w:spacing w:line="295" w:lineRule="auto"/>
        <w:ind w:right="3248"/>
        <w:rPr>
          <w:rFonts w:ascii="Courier New"/>
        </w:rPr>
      </w:pPr>
      <w:r>
        <w:rPr>
          <w:rFonts w:ascii="Courier New"/>
        </w:rPr>
        <w:t># Integer guess: just round case numbers above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37; mv1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3;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mc1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34</w:t>
      </w:r>
    </w:p>
    <w:p w14:paraId="65073D4B" w14:textId="77777777" w:rsidR="005F02D5" w:rsidRDefault="00615543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m2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94;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mv2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26;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mc2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68</w:t>
      </w:r>
    </w:p>
    <w:p w14:paraId="61C7427B" w14:textId="77777777" w:rsidR="005F02D5" w:rsidRDefault="005F02D5">
      <w:pPr>
        <w:pStyle w:val="BodyText"/>
        <w:spacing w:before="10"/>
        <w:ind w:left="0"/>
        <w:rPr>
          <w:rFonts w:ascii="Courier New"/>
          <w:sz w:val="30"/>
        </w:rPr>
      </w:pPr>
    </w:p>
    <w:p w14:paraId="344E5987" w14:textId="77777777" w:rsidR="005F02D5" w:rsidRDefault="00615543">
      <w:pPr>
        <w:pStyle w:val="BodyText"/>
        <w:spacing w:line="295" w:lineRule="auto"/>
        <w:ind w:right="5264"/>
        <w:rPr>
          <w:rFonts w:ascii="Courier New"/>
        </w:rPr>
      </w:pPr>
      <w:r>
        <w:rPr>
          <w:rFonts w:ascii="Courier New"/>
        </w:rPr>
        <w:t># Compute resulting efficacies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</w:t>
      </w:r>
    </w:p>
    <w:p w14:paraId="3CCD58A6" w14:textId="77777777" w:rsidR="005F02D5" w:rsidRDefault="00615543">
      <w:pPr>
        <w:pStyle w:val="BodyText"/>
        <w:spacing w:before="3" w:line="295" w:lineRule="auto"/>
        <w:ind w:left="358" w:right="6523"/>
        <w:rPr>
          <w:rFonts w:ascii="Courier New"/>
        </w:rPr>
      </w:pPr>
      <w:r>
        <w:rPr>
          <w:rFonts w:ascii="Courier New"/>
        </w:rPr>
        <w:t>VE1 = 1-(mv1/mc1),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VE2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1-(mv2/mc2),</w:t>
      </w:r>
    </w:p>
    <w:p w14:paraId="2CCEB285" w14:textId="77777777" w:rsidR="005F02D5" w:rsidRDefault="00615543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VE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1-(mv1+mv2)/(mc1+mc2)</w:t>
      </w:r>
    </w:p>
    <w:p w14:paraId="10A36678" w14:textId="77777777" w:rsidR="005F02D5" w:rsidRDefault="00615543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79ECE60" w14:textId="77777777" w:rsidR="005F02D5" w:rsidRDefault="005F02D5">
      <w:pPr>
        <w:pStyle w:val="BodyText"/>
        <w:spacing w:before="2"/>
        <w:ind w:left="0"/>
        <w:rPr>
          <w:rFonts w:ascii="Courier New"/>
          <w:sz w:val="22"/>
        </w:rPr>
      </w:pPr>
    </w:p>
    <w:p w14:paraId="52602F56" w14:textId="77777777" w:rsidR="005F02D5" w:rsidRDefault="00615543">
      <w:pPr>
        <w:pStyle w:val="BodyText"/>
        <w:tabs>
          <w:tab w:val="left" w:pos="1239"/>
          <w:tab w:val="left" w:pos="2498"/>
          <w:tab w:val="left" w:pos="3884"/>
        </w:tabs>
        <w:spacing w:before="99" w:line="297" w:lineRule="auto"/>
        <w:ind w:right="502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VE1</w:t>
      </w:r>
      <w:r>
        <w:rPr>
          <w:rFonts w:ascii="Courier New"/>
        </w:rPr>
        <w:tab/>
        <w:t>VE2</w:t>
      </w:r>
      <w:r>
        <w:rPr>
          <w:rFonts w:ascii="Courier New"/>
        </w:rPr>
        <w:tab/>
      </w:r>
      <w:r>
        <w:rPr>
          <w:rFonts w:ascii="Courier New"/>
          <w:spacing w:val="-2"/>
        </w:rPr>
        <w:t>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0.9117647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0.6176471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0.7156863</w:t>
      </w:r>
    </w:p>
    <w:p w14:paraId="4F04D6C0" w14:textId="77777777" w:rsidR="005F02D5" w:rsidRDefault="00615543">
      <w:pPr>
        <w:pStyle w:val="BodyText"/>
        <w:spacing w:before="206" w:line="292" w:lineRule="auto"/>
      </w:pPr>
      <w:r>
        <w:t>This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assumed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91.2%</w:t>
      </w:r>
      <w:r>
        <w:rPr>
          <w:spacing w:val="-4"/>
        </w:rPr>
        <w:t xml:space="preserve"> </w:t>
      </w:r>
      <w:r>
        <w:t>efficacy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dosing</w:t>
      </w:r>
      <w:r>
        <w:rPr>
          <w:spacing w:val="-3"/>
        </w:rPr>
        <w:t xml:space="preserve"> </w:t>
      </w:r>
      <w:r>
        <w:t>regimen,</w:t>
      </w:r>
      <w:r>
        <w:rPr>
          <w:spacing w:val="-56"/>
        </w:rPr>
        <w:t xml:space="preserve"> </w:t>
      </w:r>
      <w:r>
        <w:t>61.8% efficacy in the large dosing regimen and a 71.6% average efficacy. Seems roughly</w:t>
      </w:r>
      <w:r>
        <w:rPr>
          <w:spacing w:val="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stated</w:t>
      </w:r>
      <w:r>
        <w:rPr>
          <w:spacing w:val="-2"/>
        </w:rPr>
        <w:t xml:space="preserve"> </w:t>
      </w:r>
      <w:r>
        <w:t>numbers.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guesses went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computation.</w:t>
      </w:r>
    </w:p>
    <w:p w14:paraId="07AF5BCB" w14:textId="77777777" w:rsidR="005F02D5" w:rsidRDefault="005F02D5">
      <w:pPr>
        <w:pStyle w:val="BodyText"/>
        <w:spacing w:before="1"/>
        <w:ind w:left="0"/>
        <w:rPr>
          <w:sz w:val="18"/>
        </w:rPr>
      </w:pPr>
    </w:p>
    <w:p w14:paraId="6D613EA1" w14:textId="77777777" w:rsidR="005F02D5" w:rsidRDefault="00615543">
      <w:pPr>
        <w:pStyle w:val="BodyText"/>
        <w:spacing w:line="292" w:lineRule="auto"/>
        <w:ind w:right="828"/>
      </w:pPr>
      <w:r>
        <w:t>So if we assume 3 of 37 Covid-19 cases in the small dosage regimen were vacc</w:t>
      </w:r>
      <w:r>
        <w:t>inated</w:t>
      </w:r>
      <w:r>
        <w:rPr>
          <w:spacing w:val="1"/>
        </w:rPr>
        <w:t xml:space="preserve"> </w:t>
      </w:r>
      <w:r>
        <w:t>compared to 26 of 94 in the large dosage regimen, is the difference in these proportions</w:t>
      </w:r>
      <w:r>
        <w:rPr>
          <w:spacing w:val="1"/>
        </w:rPr>
        <w:t xml:space="preserve"> </w:t>
      </w:r>
      <w:r>
        <w:t>significant? While I am no expert on non-parametric tests (economists tend to mostly run</w:t>
      </w:r>
      <w:r>
        <w:rPr>
          <w:spacing w:val="-56"/>
        </w:rPr>
        <w:t xml:space="preserve"> </w:t>
      </w:r>
      <w:r>
        <w:t>regressions),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color w:val="1154CC"/>
        </w:rPr>
        <w:t>prob.test</w:t>
      </w:r>
      <w:r>
        <w:rPr>
          <w:color w:val="1154CC"/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sight</w:t>
      </w:r>
      <w:r>
        <w:rPr>
          <w:spacing w:val="-5"/>
        </w:rPr>
        <w:t xml:space="preserve"> </w:t>
      </w:r>
      <w:r>
        <w:t>appropriate</w:t>
      </w:r>
      <w:r>
        <w:t>.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it:</w:t>
      </w:r>
    </w:p>
    <w:p w14:paraId="46AC960E" w14:textId="77777777" w:rsidR="005F02D5" w:rsidRDefault="005F02D5">
      <w:pPr>
        <w:spacing w:line="292" w:lineRule="auto"/>
        <w:sectPr w:rsidR="005F02D5">
          <w:pgSz w:w="11910" w:h="16840"/>
          <w:pgMar w:top="680" w:right="1360" w:bottom="280" w:left="1380" w:header="720" w:footer="720" w:gutter="0"/>
          <w:cols w:space="720"/>
        </w:sectPr>
      </w:pPr>
    </w:p>
    <w:p w14:paraId="660582C2" w14:textId="77777777" w:rsidR="005F02D5" w:rsidRDefault="00615543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prop.test(x=c(mv1,mv2),n=c(m1,m2))</w:t>
      </w:r>
    </w:p>
    <w:p w14:paraId="7C7626FD" w14:textId="77777777" w:rsidR="005F02D5" w:rsidRDefault="005F02D5">
      <w:pPr>
        <w:pStyle w:val="BodyText"/>
        <w:spacing w:before="10"/>
        <w:ind w:left="0"/>
        <w:rPr>
          <w:rFonts w:ascii="Courier New"/>
          <w:sz w:val="30"/>
        </w:rPr>
      </w:pPr>
    </w:p>
    <w:p w14:paraId="5BC2A1EF" w14:textId="77777777" w:rsidR="005F02D5" w:rsidRDefault="00615543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</w:p>
    <w:p w14:paraId="54CB2890" w14:textId="77777777" w:rsidR="005F02D5" w:rsidRDefault="00615543">
      <w:pPr>
        <w:pStyle w:val="BodyText"/>
        <w:tabs>
          <w:tab w:val="left" w:pos="1113"/>
        </w:tabs>
        <w:spacing w:before="54" w:line="297" w:lineRule="auto"/>
        <w:ind w:right="86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2-sample test for equality of proportions with continuity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correction</w:t>
      </w:r>
    </w:p>
    <w:p w14:paraId="10DFF4E2" w14:textId="77777777" w:rsidR="005F02D5" w:rsidRDefault="00615543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7AC22A09" w14:textId="77777777" w:rsidR="005F02D5" w:rsidRDefault="00615543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c(mv1,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mv2)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c(m1,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m2)</w:t>
      </w:r>
    </w:p>
    <w:p w14:paraId="05D3945C" w14:textId="77777777" w:rsidR="005F02D5" w:rsidRDefault="00615543">
      <w:pPr>
        <w:pStyle w:val="BodyText"/>
        <w:spacing w:before="55" w:line="297" w:lineRule="auto"/>
        <w:ind w:right="2996"/>
        <w:rPr>
          <w:rFonts w:ascii="Courier New"/>
        </w:rPr>
      </w:pPr>
      <w:r>
        <w:rPr>
          <w:rFonts w:ascii="Courier New"/>
        </w:rPr>
        <w:t>## X-squared = 4.8083, df = 1, p-value = 0.02832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alternative hypothesis: two.sided</w:t>
      </w:r>
    </w:p>
    <w:p w14:paraId="20EF2EEB" w14:textId="77777777" w:rsidR="005F02D5" w:rsidRDefault="00615543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95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confidence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interval:</w:t>
      </w:r>
    </w:p>
    <w:p w14:paraId="12E7A845" w14:textId="77777777" w:rsidR="005F02D5" w:rsidRDefault="00615543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-0.34049235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-0.05053698</w:t>
      </w:r>
    </w:p>
    <w:p w14:paraId="5C2F09B3" w14:textId="77777777" w:rsidR="005F02D5" w:rsidRDefault="00615543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estimates:</w:t>
      </w:r>
    </w:p>
    <w:p w14:paraId="1393FF6E" w14:textId="77777777" w:rsidR="005F02D5" w:rsidRDefault="00615543">
      <w:pPr>
        <w:pStyle w:val="BodyText"/>
        <w:tabs>
          <w:tab w:val="left" w:pos="986"/>
          <w:tab w:val="left" w:pos="237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prop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prop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14:paraId="2FBAEBEA" w14:textId="77777777" w:rsidR="005F02D5" w:rsidRDefault="00615543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0.08108108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0.27659574</w:t>
      </w:r>
    </w:p>
    <w:p w14:paraId="30F93864" w14:textId="77777777" w:rsidR="005F02D5" w:rsidRDefault="005F02D5">
      <w:pPr>
        <w:pStyle w:val="BodyText"/>
        <w:spacing w:before="5"/>
        <w:ind w:left="0"/>
        <w:rPr>
          <w:rFonts w:ascii="Courier New"/>
          <w:sz w:val="23"/>
        </w:rPr>
      </w:pPr>
    </w:p>
    <w:p w14:paraId="63F519A3" w14:textId="77777777" w:rsidR="005F02D5" w:rsidRDefault="00615543">
      <w:pPr>
        <w:pStyle w:val="BodyText"/>
        <w:spacing w:line="292" w:lineRule="auto"/>
        <w:ind w:right="156"/>
      </w:pPr>
      <w:r>
        <w:t>The</w:t>
      </w:r>
      <w:r>
        <w:rPr>
          <w:spacing w:val="-4"/>
        </w:rPr>
        <w:t xml:space="preserve"> </w:t>
      </w:r>
      <w:r>
        <w:t>p-value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2.8%</w:t>
      </w:r>
      <w:r>
        <w:rPr>
          <w:spacing w:val="-1"/>
        </w:rPr>
        <w:t xml:space="preserve"> </w:t>
      </w:r>
      <w:r>
        <w:t>indeed</w:t>
      </w:r>
      <w:r>
        <w:rPr>
          <w:spacing w:val="-5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larger</w:t>
      </w:r>
      <w:r>
        <w:rPr>
          <w:spacing w:val="-56"/>
        </w:rPr>
        <w:t xml:space="preserve"> </w:t>
      </w:r>
      <w:r>
        <w:t>in AstraZeneca’s small dosing regimen. (Of course, just taking this p-value at face value might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slightly p-hackish.)</w:t>
      </w:r>
    </w:p>
    <w:p w14:paraId="4CE55CBA" w14:textId="77777777" w:rsidR="005F02D5" w:rsidRDefault="005F02D5">
      <w:pPr>
        <w:pStyle w:val="BodyText"/>
        <w:spacing w:before="1"/>
        <w:ind w:left="0"/>
        <w:rPr>
          <w:sz w:val="18"/>
        </w:rPr>
      </w:pPr>
    </w:p>
    <w:p w14:paraId="16233599" w14:textId="73655352" w:rsidR="005F02D5" w:rsidRDefault="00615543">
      <w:pPr>
        <w:pStyle w:val="BodyText"/>
        <w:spacing w:line="292" w:lineRule="auto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AstraZeneca’s results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b</w:t>
      </w:r>
      <w:r>
        <w:t>y</w:t>
      </w:r>
      <w:r>
        <w:rPr>
          <w:spacing w:val="-4"/>
        </w:rPr>
        <w:t xml:space="preserve"> </w:t>
      </w:r>
      <w:r>
        <w:t>Biontech/Pfizer</w:t>
      </w:r>
      <w:r>
        <w:rPr>
          <w:spacing w:val="-4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Moderna using the Bayesian approach suggested by Biontech/Pfizer’s study plan</w:t>
      </w:r>
      <w:r>
        <w:t xml:space="preserve">. </w:t>
      </w:r>
      <w:r>
        <w:rPr>
          <w:color w:val="1154CC"/>
        </w:rPr>
        <w:t xml:space="preserve">Biontech reported </w:t>
      </w:r>
      <w:r>
        <w:t>that out of 170 Covid-19 cases 8 subjects were</w:t>
      </w:r>
      <w:r>
        <w:rPr>
          <w:spacing w:val="1"/>
        </w:rPr>
        <w:t xml:space="preserve"> </w:t>
      </w:r>
      <w:r>
        <w:t>vaccinated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color w:val="1154CC"/>
        </w:rPr>
        <w:t>Moderna’s press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 xml:space="preserve">release </w:t>
      </w:r>
      <w:r>
        <w:t>states</w:t>
      </w:r>
      <w:r>
        <w:rPr>
          <w:spacing w:val="-1"/>
        </w:rPr>
        <w:t xml:space="preserve"> </w:t>
      </w:r>
      <w:r>
        <w:t>5 out</w:t>
      </w:r>
      <w:r>
        <w:rPr>
          <w:spacing w:val="-3"/>
        </w:rPr>
        <w:t xml:space="preserve"> </w:t>
      </w:r>
      <w:r>
        <w:t>of 95</w:t>
      </w:r>
      <w:r>
        <w:rPr>
          <w:spacing w:val="-3"/>
        </w:rPr>
        <w:t xml:space="preserve"> </w:t>
      </w:r>
      <w:r>
        <w:t>cases.</w:t>
      </w:r>
    </w:p>
    <w:p w14:paraId="5FCBE2E1" w14:textId="77777777" w:rsidR="005F02D5" w:rsidRDefault="005F02D5">
      <w:pPr>
        <w:pStyle w:val="BodyText"/>
        <w:spacing w:before="11"/>
        <w:ind w:left="0"/>
        <w:rPr>
          <w:sz w:val="17"/>
        </w:rPr>
      </w:pPr>
    </w:p>
    <w:p w14:paraId="2BCBC9B3" w14:textId="77777777" w:rsidR="005F02D5" w:rsidRDefault="00615543">
      <w:pPr>
        <w:pStyle w:val="BodyText"/>
        <w:spacing w:line="292" w:lineRule="auto"/>
        <w:ind w:right="194"/>
      </w:pPr>
      <w:r>
        <w:t>The code below shows for each trial / dosing regimen the posterior distribution for the vaccine</w:t>
      </w:r>
      <w:r>
        <w:rPr>
          <w:spacing w:val="1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Beta</w:t>
      </w:r>
      <w:r>
        <w:rPr>
          <w:spacing w:val="-4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Biontech/Pfizer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guessed</w:t>
      </w:r>
      <w:r>
        <w:rPr>
          <w:spacing w:val="-4"/>
        </w:rPr>
        <w:t xml:space="preserve"> </w:t>
      </w:r>
      <w:r>
        <w:t>numbers</w:t>
      </w:r>
      <w:r>
        <w:rPr>
          <w:spacing w:val="-5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AstraZeneca.</w:t>
      </w:r>
    </w:p>
    <w:p w14:paraId="4405AA73" w14:textId="77777777" w:rsidR="005F02D5" w:rsidRDefault="005F02D5">
      <w:pPr>
        <w:pStyle w:val="BodyText"/>
        <w:spacing w:before="4"/>
        <w:ind w:left="0"/>
        <w:rPr>
          <w:sz w:val="18"/>
        </w:rPr>
      </w:pPr>
    </w:p>
    <w:p w14:paraId="2868D020" w14:textId="77777777" w:rsidR="005F02D5" w:rsidRDefault="00615543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Helper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</w:t>
      </w:r>
    </w:p>
    <w:p w14:paraId="58052700" w14:textId="77777777" w:rsidR="005F02D5" w:rsidRDefault="00615543">
      <w:pPr>
        <w:pStyle w:val="BodyText"/>
        <w:spacing w:before="55"/>
        <w:rPr>
          <w:rFonts w:ascii="Courier New"/>
        </w:rPr>
      </w:pPr>
      <w:r>
        <w:rPr>
          <w:color w:val="1154CC"/>
        </w:rPr>
        <w:t>theta.to.VE</w:t>
      </w:r>
      <w:r>
        <w:rPr>
          <w:color w:val="1154CC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function(theta)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(1-2*theta)/(1-theta)</w:t>
      </w:r>
    </w:p>
    <w:p w14:paraId="58B620DC" w14:textId="77777777" w:rsidR="005F02D5" w:rsidRDefault="005F02D5">
      <w:pPr>
        <w:pStyle w:val="BodyText"/>
        <w:spacing w:before="10"/>
        <w:ind w:left="0"/>
        <w:rPr>
          <w:rFonts w:ascii="Courier New"/>
          <w:sz w:val="30"/>
        </w:rPr>
      </w:pPr>
    </w:p>
    <w:p w14:paraId="5E178D68" w14:textId="77777777" w:rsidR="005F02D5" w:rsidRDefault="00615543">
      <w:pPr>
        <w:pStyle w:val="BodyText"/>
        <w:spacing w:line="295" w:lineRule="auto"/>
        <w:ind w:right="2491"/>
        <w:rPr>
          <w:rFonts w:ascii="Courier New"/>
        </w:rPr>
      </w:pPr>
      <w:r>
        <w:rPr>
          <w:rFonts w:ascii="Courier New"/>
        </w:rPr>
        <w:t># Parameters of Biontech/Pfizer's prior distribution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0.700102;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4898C7CA" w14:textId="77777777" w:rsidR="005F02D5" w:rsidRDefault="00615543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grid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tibble(</w:t>
      </w:r>
    </w:p>
    <w:p w14:paraId="283577A3" w14:textId="77777777" w:rsidR="005F02D5" w:rsidRDefault="00615543">
      <w:pPr>
        <w:pStyle w:val="BodyText"/>
        <w:spacing w:before="55" w:line="297" w:lineRule="auto"/>
        <w:ind w:left="358" w:right="267"/>
        <w:rPr>
          <w:rFonts w:ascii="Courier New"/>
        </w:rPr>
      </w:pPr>
      <w:r>
        <w:rPr>
          <w:rFonts w:ascii="Courier New"/>
          <w:w w:val="95"/>
        </w:rPr>
        <w:t>study=c("Biontech/Pfizer","Moderna","AstraZeneca-1","AstraZeneca-2"),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m=c(170,95,37,94),</w:t>
      </w:r>
    </w:p>
    <w:p w14:paraId="263B673B" w14:textId="77777777" w:rsidR="005F02D5" w:rsidRDefault="00615543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mv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c(8,5,3,26),</w:t>
      </w:r>
    </w:p>
    <w:p w14:paraId="4FF4130E" w14:textId="77777777" w:rsidR="005F02D5" w:rsidRDefault="00615543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mc=m-mv)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618BEB02" w14:textId="77777777" w:rsidR="005F02D5" w:rsidRDefault="00615543">
      <w:pPr>
        <w:pStyle w:val="BodyText"/>
        <w:spacing w:before="55" w:line="297" w:lineRule="auto"/>
        <w:ind w:left="358" w:right="2364"/>
        <w:rPr>
          <w:rFonts w:ascii="Courier New"/>
        </w:rPr>
      </w:pPr>
      <w:r>
        <w:rPr>
          <w:rFonts w:ascii="Courier New"/>
        </w:rPr>
        <w:t>tidyr::expand_grid(theta = seq(0,0.5,by=0.002))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</w:p>
    <w:p w14:paraId="4FC38D48" w14:textId="77777777" w:rsidR="005F02D5" w:rsidRDefault="00615543">
      <w:pPr>
        <w:pStyle w:val="BodyText"/>
        <w:spacing w:line="255" w:lineRule="exact"/>
        <w:ind w:left="608"/>
        <w:rPr>
          <w:rFonts w:ascii="Courier New"/>
        </w:rPr>
      </w:pPr>
      <w:r>
        <w:rPr>
          <w:rFonts w:ascii="Courier New"/>
        </w:rPr>
        <w:t>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color w:val="1154CC"/>
        </w:rPr>
        <w:t>theta.to.VE</w:t>
      </w:r>
      <w:r>
        <w:rPr>
          <w:rFonts w:ascii="Courier New"/>
        </w:rPr>
        <w:t>(theta),</w:t>
      </w:r>
    </w:p>
    <w:p w14:paraId="1C0FF008" w14:textId="77777777" w:rsidR="005F02D5" w:rsidRDefault="00615543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density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dbeta(theta,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shape1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a0+mv,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shape2=b0+mc</w:t>
      </w:r>
      <w:r>
        <w:rPr>
          <w:rFonts w:ascii="Courier New"/>
        </w:rPr>
        <w:t>)</w:t>
      </w:r>
    </w:p>
    <w:p w14:paraId="2A781376" w14:textId="77777777" w:rsidR="005F02D5" w:rsidRDefault="00615543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B8F6451" w14:textId="77777777" w:rsidR="005F02D5" w:rsidRDefault="005F02D5">
      <w:pPr>
        <w:pStyle w:val="BodyText"/>
        <w:spacing w:before="10"/>
        <w:ind w:left="0"/>
        <w:rPr>
          <w:rFonts w:ascii="Courier New"/>
          <w:sz w:val="30"/>
        </w:rPr>
      </w:pPr>
    </w:p>
    <w:p w14:paraId="27085816" w14:textId="77777777" w:rsidR="005F02D5" w:rsidRDefault="00615543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posterior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distributions</w:t>
      </w:r>
    </w:p>
    <w:p w14:paraId="0628039C" w14:textId="77777777" w:rsidR="005F02D5" w:rsidRDefault="00615543">
      <w:pPr>
        <w:pStyle w:val="BodyText"/>
        <w:spacing w:before="57" w:line="295" w:lineRule="auto"/>
        <w:ind w:right="1105"/>
        <w:rPr>
          <w:rFonts w:ascii="Courier New"/>
        </w:rPr>
      </w:pPr>
      <w:r>
        <w:rPr>
          <w:rFonts w:ascii="Courier New"/>
        </w:rPr>
        <w:t>ggplot(filter(grid, VE &gt; 0.2), aes(x=VE, y=density, fill=study,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color=study)) +</w:t>
      </w:r>
    </w:p>
    <w:p w14:paraId="481F3351" w14:textId="77777777" w:rsidR="005F02D5" w:rsidRDefault="00615543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geom_area(alpha=0.5,position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"identity")+</w:t>
      </w:r>
    </w:p>
    <w:p w14:paraId="70007461" w14:textId="77777777" w:rsidR="005F02D5" w:rsidRDefault="00615543">
      <w:pPr>
        <w:pStyle w:val="BodyText"/>
        <w:spacing w:before="55" w:line="297" w:lineRule="auto"/>
        <w:ind w:right="223" w:firstLine="252"/>
        <w:rPr>
          <w:rFonts w:ascii="Courier New"/>
        </w:rPr>
      </w:pPr>
      <w:r>
        <w:rPr>
          <w:rFonts w:ascii="Courier New"/>
        </w:rPr>
        <w:t>ggtitle("Estimated posterior efficacy of different vaccines / dosing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regimens")</w:t>
      </w:r>
    </w:p>
    <w:p w14:paraId="5C7D91CA" w14:textId="77777777" w:rsidR="005F02D5" w:rsidRDefault="005F02D5">
      <w:pPr>
        <w:spacing w:line="297" w:lineRule="auto"/>
        <w:rPr>
          <w:rFonts w:ascii="Courier New"/>
        </w:rPr>
        <w:sectPr w:rsidR="005F02D5">
          <w:pgSz w:w="11910" w:h="16840"/>
          <w:pgMar w:top="680" w:right="1360" w:bottom="280" w:left="1380" w:header="720" w:footer="720" w:gutter="0"/>
          <w:cols w:space="720"/>
        </w:sectPr>
      </w:pPr>
    </w:p>
    <w:p w14:paraId="584EE998" w14:textId="77777777" w:rsidR="005F02D5" w:rsidRDefault="00615543">
      <w:pPr>
        <w:pStyle w:val="BodyText"/>
        <w:ind w:left="4399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6847739F">
          <v:group id="_x0000_s1026" style="width:18pt;height:18pt;mso-position-horizontal-relative:char;mso-position-vertical-relative:line" coordsize="360,360">
            <v:rect id="_x0000_s1033" style="position:absolute;width:15;height:15" fillcolor="#4b4b4b" stroked="f"/>
            <v:shape id="_x0000_s1032" style="position:absolute;left:348;top:2;width:12;height:12" coordorigin="348,2" coordsize="12,12" path="m360,14l348,12,358,2r2,l360,14xe" fillcolor="#b1b1b1" stroked="f">
              <v:path arrowok="t"/>
            </v:shape>
            <v:shape id="_x0000_s1031" style="position:absolute;left:343;width:17;height:15" coordorigin="343" coordsize="17,15" path="m343,14l343,r17,l348,12r-5,2xe" fillcolor="#4b4b4b" stroked="f">
              <v:path arrowok="t"/>
            </v:shape>
            <v:rect id="_x0000_s1030" style="position:absolute;left:343;top:345;width:17;height:15" fillcolor="#b1b1b1" stroked="f"/>
            <v:shape id="_x0000_s1029" style="position:absolute;top:345;width:15;height:15" coordorigin=",346" coordsize="15,15" path="m,360l,346r14,l,360xe" fillcolor="#4b4b4b" stroked="f">
              <v:path arrowok="t"/>
            </v:shape>
            <v:shape id="_x0000_s1028" style="position:absolute;left:2;top:348;width:12;height:12" coordorigin="2,348" coordsize="12,12" path="m14,360l2,358,12,348r2,l14,360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60;height:360">
              <v:imagedata r:id="rId4" o:title=""/>
            </v:shape>
            <w10:anchorlock/>
          </v:group>
        </w:pict>
      </w:r>
    </w:p>
    <w:p w14:paraId="666445AE" w14:textId="77777777" w:rsidR="005F02D5" w:rsidRDefault="005F02D5">
      <w:pPr>
        <w:pStyle w:val="BodyText"/>
        <w:spacing w:before="2"/>
        <w:ind w:left="0"/>
        <w:rPr>
          <w:rFonts w:ascii="Courier New"/>
          <w:sz w:val="25"/>
        </w:rPr>
      </w:pPr>
    </w:p>
    <w:p w14:paraId="2FD21FC5" w14:textId="77777777" w:rsidR="005F02D5" w:rsidRDefault="00615543">
      <w:pPr>
        <w:pStyle w:val="BodyText"/>
        <w:spacing w:before="93" w:line="292" w:lineRule="auto"/>
        <w:ind w:right="267"/>
      </w:pPr>
      <w:r>
        <w:t>Hmm, for me subjectively the posterior for AstraZeneca’s small dosing regimen looks actua</w:t>
      </w:r>
      <w:r>
        <w:t>lly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suspected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release.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guesses</w:t>
      </w:r>
      <w:r>
        <w:rPr>
          <w:spacing w:val="-55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into those</w:t>
      </w:r>
      <w:r>
        <w:rPr>
          <w:spacing w:val="-2"/>
        </w:rPr>
        <w:t xml:space="preserve"> </w:t>
      </w:r>
      <w:r>
        <w:t>curves.</w:t>
      </w:r>
    </w:p>
    <w:p w14:paraId="2B199033" w14:textId="77777777" w:rsidR="005F02D5" w:rsidRDefault="005F02D5">
      <w:pPr>
        <w:pStyle w:val="BodyText"/>
        <w:spacing w:before="1"/>
        <w:ind w:left="0"/>
        <w:rPr>
          <w:sz w:val="18"/>
        </w:rPr>
      </w:pPr>
    </w:p>
    <w:p w14:paraId="0EBDC0E2" w14:textId="77777777" w:rsidR="005F02D5" w:rsidRDefault="00615543">
      <w:pPr>
        <w:pStyle w:val="BodyText"/>
        <w:spacing w:line="292" w:lineRule="auto"/>
        <w:ind w:right="156"/>
      </w:pPr>
      <w:r>
        <w:t>Overall, I personally would consider AstraZeneca’s preliminary results good news. In particular,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from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press release:</w:t>
      </w:r>
    </w:p>
    <w:p w14:paraId="209D551A" w14:textId="77777777" w:rsidR="005F02D5" w:rsidRDefault="005F02D5">
      <w:pPr>
        <w:pStyle w:val="BodyText"/>
        <w:spacing w:before="1"/>
        <w:ind w:left="0"/>
        <w:rPr>
          <w:sz w:val="18"/>
        </w:rPr>
      </w:pPr>
    </w:p>
    <w:p w14:paraId="4ED6865C" w14:textId="77777777" w:rsidR="005F02D5" w:rsidRDefault="00615543">
      <w:pPr>
        <w:pStyle w:val="BodyText"/>
        <w:spacing w:line="292" w:lineRule="auto"/>
        <w:ind w:left="705" w:right="1102"/>
      </w:pPr>
      <w:r>
        <w:t>no hospitalisations or severe cases of th</w:t>
      </w:r>
      <w:r>
        <w:t>e disease were reported in participants</w:t>
      </w:r>
      <w:r>
        <w:rPr>
          <w:spacing w:val="-56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 vaccine.</w:t>
      </w:r>
    </w:p>
    <w:p w14:paraId="16ED4EF1" w14:textId="77777777" w:rsidR="005F02D5" w:rsidRDefault="005F02D5">
      <w:pPr>
        <w:pStyle w:val="BodyText"/>
        <w:spacing w:before="3"/>
        <w:ind w:left="0"/>
        <w:rPr>
          <w:sz w:val="18"/>
        </w:rPr>
      </w:pPr>
    </w:p>
    <w:p w14:paraId="28FA2D06" w14:textId="77777777" w:rsidR="005F02D5" w:rsidRDefault="00615543">
      <w:pPr>
        <w:pStyle w:val="BodyText"/>
        <w:spacing w:line="290" w:lineRule="auto"/>
        <w:ind w:left="705" w:right="616"/>
      </w:pPr>
      <w:r>
        <w:t>The vaccine can be stored, transported and handled at normal refrigerated</w:t>
      </w:r>
      <w:r>
        <w:rPr>
          <w:spacing w:val="1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(2-8</w:t>
      </w:r>
      <w:r>
        <w:rPr>
          <w:spacing w:val="-4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Celsius/</w:t>
      </w:r>
      <w:r>
        <w:rPr>
          <w:spacing w:val="-4"/>
        </w:rPr>
        <w:t xml:space="preserve"> </w:t>
      </w:r>
      <w:r>
        <w:t>36-46</w:t>
      </w:r>
      <w:r>
        <w:rPr>
          <w:spacing w:val="-5"/>
        </w:rPr>
        <w:t xml:space="preserve"> </w:t>
      </w:r>
      <w:r>
        <w:t>degrees</w:t>
      </w:r>
      <w:r>
        <w:rPr>
          <w:spacing w:val="-4"/>
        </w:rPr>
        <w:t xml:space="preserve"> </w:t>
      </w:r>
      <w:r>
        <w:t>Fahrenheit)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months.</w:t>
      </w:r>
    </w:p>
    <w:sectPr w:rsidR="005F02D5">
      <w:pgSz w:w="11910" w:h="16840"/>
      <w:pgMar w:top="74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02D5"/>
    <w:rsid w:val="005F02D5"/>
    <w:rsid w:val="00615543"/>
    <w:rsid w:val="007C01C2"/>
    <w:rsid w:val="00C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8E549EE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https://mail.google.com/mail/u/0?ui=2&amp;ik=40496390cd&amp;view=lg&amp;permmsgid=msg-f%3A1684290114414626910&amp;ser=1</dc:title>
  <dc:creator>91889</dc:creator>
  <cp:lastModifiedBy>BINAYAKA MISHRA</cp:lastModifiedBy>
  <cp:revision>4</cp:revision>
  <dcterms:created xsi:type="dcterms:W3CDTF">2022-07-03T05:35:00Z</dcterms:created>
  <dcterms:modified xsi:type="dcterms:W3CDTF">2022-07-03T05:37:00Z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LastSaved">
    <vt:filetime>2022-07-03T00:00:00Z</vt:filetime>
  </property>
</Properties>
</file>