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7152" w14:textId="77777777" w:rsidR="00C17356" w:rsidRPr="00C17356" w:rsidRDefault="00C17356" w:rsidP="00C17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356">
        <w:rPr>
          <w:rFonts w:ascii="Times New Roman" w:eastAsia="Times New Roman" w:hAnsi="Times New Roman" w:cs="Times New Roman"/>
          <w:b/>
          <w:bCs/>
          <w:sz w:val="36"/>
          <w:szCs w:val="36"/>
          <w:lang w:eastAsia="en-IN"/>
        </w:rPr>
        <w:t>Abstract</w:t>
      </w:r>
    </w:p>
    <w:p w14:paraId="0C5C17C1"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Unexploded WWII bombs are ticking threats despite being dropped more than 70 years ago. In this post we explain how statistical methods are used to plan the search and disposal of unexploded WWII bombs. In particular we consider and exemplify the non-parametric nearest neighbour distance (NND) method implemented in the R package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The method analyses the spatial pattern of exploded bombs to determine so called risk-zones, that is regions with a high likelihood of containing unexploded bombs. The coverage of such risk-zones is investigated through both non-parametric and parametric point process simulation.</w:t>
      </w:r>
    </w:p>
    <w:p w14:paraId="44080D19" w14:textId="77777777" w:rsidR="00C17356" w:rsidRPr="00C17356" w:rsidRDefault="00C17356" w:rsidP="00C17356">
      <w:pPr>
        <w:spacing w:after="0" w:line="240" w:lineRule="auto"/>
        <w:jc w:val="center"/>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br/>
      </w:r>
      <w:r w:rsidRPr="00C17356">
        <w:rPr>
          <w:rFonts w:ascii="Times New Roman" w:eastAsia="Times New Roman" w:hAnsi="Times New Roman" w:cs="Times New Roman"/>
          <w:noProof/>
          <w:sz w:val="20"/>
          <w:szCs w:val="20"/>
          <w:lang w:eastAsia="en-IN"/>
        </w:rPr>
        <mc:AlternateContent>
          <mc:Choice Requires="wps">
            <w:drawing>
              <wp:inline distT="0" distB="0" distL="0" distR="0" wp14:anchorId="2579B0B9" wp14:editId="487D776F">
                <wp:extent cx="304800" cy="304800"/>
                <wp:effectExtent l="0" t="0" r="0" b="0"/>
                <wp:docPr id="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9107C"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EB4496"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C17356">
          <w:rPr>
            <w:rFonts w:ascii="Times New Roman" w:eastAsia="Times New Roman" w:hAnsi="Times New Roman" w:cs="Times New Roman"/>
            <w:color w:val="0000FF"/>
            <w:sz w:val="20"/>
            <w:szCs w:val="20"/>
            <w:u w:val="single"/>
            <w:lang w:eastAsia="en-IN"/>
          </w:rPr>
          <w:t>NCAP</w:t>
        </w:r>
      </w:hyperlink>
      <w:r w:rsidRPr="00C17356">
        <w:rPr>
          <w:rFonts w:ascii="Times New Roman" w:eastAsia="Times New Roman" w:hAnsi="Times New Roman" w:cs="Times New Roman"/>
          <w:color w:val="BBBBBB"/>
          <w:sz w:val="20"/>
          <w:szCs w:val="20"/>
          <w:lang w:eastAsia="en-IN"/>
        </w:rPr>
        <w:t xml:space="preserve"> aerial photo from 1944 showing the bombing of the V2 rocket facility at </w:t>
      </w:r>
      <w:proofErr w:type="spellStart"/>
      <w:r w:rsidRPr="00C17356">
        <w:rPr>
          <w:rFonts w:ascii="Times New Roman" w:eastAsia="Times New Roman" w:hAnsi="Times New Roman" w:cs="Times New Roman"/>
          <w:color w:val="BBBBBB"/>
          <w:sz w:val="20"/>
          <w:szCs w:val="20"/>
          <w:lang w:eastAsia="en-IN"/>
        </w:rPr>
        <w:t>Peenemünde</w:t>
      </w:r>
      <w:proofErr w:type="spellEnd"/>
      <w:r w:rsidRPr="00C17356">
        <w:rPr>
          <w:rFonts w:ascii="Times New Roman" w:eastAsia="Times New Roman" w:hAnsi="Times New Roman" w:cs="Times New Roman"/>
          <w:color w:val="BBBBBB"/>
          <w:sz w:val="20"/>
          <w:szCs w:val="20"/>
          <w:lang w:eastAsia="en-IN"/>
        </w:rPr>
        <w:t xml:space="preserve">, Germany. Image is available under a custom NCAP license – higher resolution images are available from NCAP. </w:t>
      </w:r>
    </w:p>
    <w:p w14:paraId="73B2F36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noProof/>
          <w:color w:val="0000FF"/>
          <w:sz w:val="20"/>
          <w:szCs w:val="20"/>
          <w:lang w:eastAsia="en-IN"/>
        </w:rPr>
        <w:drawing>
          <wp:inline distT="0" distB="0" distL="0" distR="0" wp14:anchorId="105BA914" wp14:editId="2772303F">
            <wp:extent cx="838200" cy="297180"/>
            <wp:effectExtent l="0" t="0" r="0" b="7620"/>
            <wp:docPr id="7" name="Picture 7" descr="Creative Commons Licens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e Commons Licens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C17356">
        <w:rPr>
          <w:rFonts w:ascii="Times New Roman" w:eastAsia="Times New Roman" w:hAnsi="Times New Roman" w:cs="Times New Roman"/>
          <w:sz w:val="20"/>
          <w:szCs w:val="20"/>
          <w:lang w:eastAsia="en-IN"/>
        </w:rPr>
        <w:t xml:space="preserve">This work is licensed under a </w:t>
      </w:r>
      <w:hyperlink r:id="rId8" w:tgtFrame="_blank" w:history="1">
        <w:r w:rsidRPr="00C17356">
          <w:rPr>
            <w:rFonts w:ascii="Times New Roman" w:eastAsia="Times New Roman" w:hAnsi="Times New Roman" w:cs="Times New Roman"/>
            <w:color w:val="0000FF"/>
            <w:sz w:val="20"/>
            <w:szCs w:val="20"/>
            <w:u w:val="single"/>
            <w:lang w:eastAsia="en-IN"/>
          </w:rPr>
          <w:t>Creative Commons Attribution-</w:t>
        </w:r>
        <w:proofErr w:type="spellStart"/>
        <w:r w:rsidRPr="00C17356">
          <w:rPr>
            <w:rFonts w:ascii="Times New Roman" w:eastAsia="Times New Roman" w:hAnsi="Times New Roman" w:cs="Times New Roman"/>
            <w:color w:val="0000FF"/>
            <w:sz w:val="20"/>
            <w:szCs w:val="20"/>
            <w:u w:val="single"/>
            <w:lang w:eastAsia="en-IN"/>
          </w:rPr>
          <w:t>ShareAlike</w:t>
        </w:r>
        <w:proofErr w:type="spellEnd"/>
        <w:r w:rsidRPr="00C17356">
          <w:rPr>
            <w:rFonts w:ascii="Times New Roman" w:eastAsia="Times New Roman" w:hAnsi="Times New Roman" w:cs="Times New Roman"/>
            <w:color w:val="0000FF"/>
            <w:sz w:val="20"/>
            <w:szCs w:val="20"/>
            <w:u w:val="single"/>
            <w:lang w:eastAsia="en-IN"/>
          </w:rPr>
          <w:t xml:space="preserve"> 4.0 International License</w:t>
        </w:r>
      </w:hyperlink>
      <w:r w:rsidRPr="00C17356">
        <w:rPr>
          <w:rFonts w:ascii="Times New Roman" w:eastAsia="Times New Roman" w:hAnsi="Times New Roman" w:cs="Times New Roman"/>
          <w:sz w:val="20"/>
          <w:szCs w:val="20"/>
          <w:lang w:eastAsia="en-IN"/>
        </w:rPr>
        <w:t xml:space="preserve">. The </w:t>
      </w:r>
      <w:proofErr w:type="spellStart"/>
      <w:r w:rsidRPr="00C17356">
        <w:rPr>
          <w:rFonts w:ascii="Times New Roman" w:eastAsia="Times New Roman" w:hAnsi="Times New Roman" w:cs="Times New Roman"/>
          <w:sz w:val="20"/>
          <w:szCs w:val="20"/>
          <w:lang w:eastAsia="en-IN"/>
        </w:rPr>
        <w:t>markdown+Rknitr</w:t>
      </w:r>
      <w:proofErr w:type="spellEnd"/>
      <w:r w:rsidRPr="00C17356">
        <w:rPr>
          <w:rFonts w:ascii="Times New Roman" w:eastAsia="Times New Roman" w:hAnsi="Times New Roman" w:cs="Times New Roman"/>
          <w:sz w:val="20"/>
          <w:szCs w:val="20"/>
          <w:lang w:eastAsia="en-IN"/>
        </w:rPr>
        <w:t xml:space="preserve"> source code of this blog is available under a </w:t>
      </w:r>
      <w:hyperlink r:id="rId9" w:tgtFrame="_blank" w:history="1">
        <w:r w:rsidRPr="00C17356">
          <w:rPr>
            <w:rFonts w:ascii="Times New Roman" w:eastAsia="Times New Roman" w:hAnsi="Times New Roman" w:cs="Times New Roman"/>
            <w:color w:val="0000FF"/>
            <w:sz w:val="20"/>
            <w:szCs w:val="20"/>
            <w:u w:val="single"/>
            <w:lang w:eastAsia="en-IN"/>
          </w:rPr>
          <w:t>GNU General Public License (GPL v3)</w:t>
        </w:r>
      </w:hyperlink>
      <w:r w:rsidRPr="00C17356">
        <w:rPr>
          <w:rFonts w:ascii="Times New Roman" w:eastAsia="Times New Roman" w:hAnsi="Times New Roman" w:cs="Times New Roman"/>
          <w:sz w:val="20"/>
          <w:szCs w:val="20"/>
          <w:lang w:eastAsia="en-IN"/>
        </w:rPr>
        <w:t xml:space="preserve"> license from </w:t>
      </w:r>
      <w:proofErr w:type="spellStart"/>
      <w:r w:rsidRPr="00C17356">
        <w:rPr>
          <w:rFonts w:ascii="Times New Roman" w:eastAsia="Times New Roman" w:hAnsi="Times New Roman" w:cs="Times New Roman"/>
          <w:sz w:val="20"/>
          <w:szCs w:val="20"/>
          <w:lang w:eastAsia="en-IN"/>
        </w:rPr>
        <w:t>github</w:t>
      </w:r>
      <w:proofErr w:type="spellEnd"/>
      <w:r w:rsidRPr="00C17356">
        <w:rPr>
          <w:rFonts w:ascii="Times New Roman" w:eastAsia="Times New Roman" w:hAnsi="Times New Roman" w:cs="Times New Roman"/>
          <w:sz w:val="20"/>
          <w:szCs w:val="20"/>
          <w:lang w:eastAsia="en-IN"/>
        </w:rPr>
        <w:t>.</w:t>
      </w:r>
    </w:p>
    <w:p w14:paraId="33317AA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w:t>
      </w:r>
      <w:proofErr w:type="spellStart"/>
      <w:r w:rsidRPr="00C17356">
        <w:rPr>
          <w:rFonts w:ascii="Times New Roman" w:eastAsia="Times New Roman" w:hAnsi="Times New Roman" w:cs="Times New Roman"/>
          <w:sz w:val="20"/>
          <w:szCs w:val="20"/>
          <w:lang w:eastAsia="en-IN"/>
        </w:rPr>
        <w:t>newcommand</w:t>
      </w:r>
      <w:proofErr w:type="spellEnd"/>
      <w:r w:rsidRPr="00C17356">
        <w:rPr>
          <w:rFonts w:ascii="Times New Roman" w:eastAsia="Times New Roman" w:hAnsi="Times New Roman" w:cs="Times New Roman"/>
          <w:sz w:val="20"/>
          <w:szCs w:val="20"/>
          <w:lang w:eastAsia="en-IN"/>
        </w:rPr>
        <w:t>{\bm}[</w:t>
      </w:r>
      <w:proofErr w:type="gramStart"/>
      <w:r w:rsidRPr="00C17356">
        <w:rPr>
          <w:rFonts w:ascii="Times New Roman" w:eastAsia="Times New Roman" w:hAnsi="Times New Roman" w:cs="Times New Roman"/>
          <w:sz w:val="20"/>
          <w:szCs w:val="20"/>
          <w:lang w:eastAsia="en-IN"/>
        </w:rPr>
        <w:t>1]{</w:t>
      </w:r>
      <w:proofErr w:type="gramEnd"/>
      <w:r w:rsidRPr="00C17356">
        <w:rPr>
          <w:rFonts w:ascii="Times New Roman" w:eastAsia="Times New Roman" w:hAnsi="Times New Roman" w:cs="Times New Roman"/>
          <w:sz w:val="20"/>
          <w:szCs w:val="20"/>
          <w:lang w:eastAsia="en-IN"/>
        </w:rPr>
        <w:t>\</w:t>
      </w:r>
      <w:proofErr w:type="spellStart"/>
      <w:r w:rsidRPr="00C17356">
        <w:rPr>
          <w:rFonts w:ascii="Times New Roman" w:eastAsia="Times New Roman" w:hAnsi="Times New Roman" w:cs="Times New Roman"/>
          <w:sz w:val="20"/>
          <w:szCs w:val="20"/>
          <w:lang w:eastAsia="en-IN"/>
        </w:rPr>
        <w:t>boldsymbol</w:t>
      </w:r>
      <w:proofErr w:type="spellEnd"/>
      <w:r w:rsidRPr="00C17356">
        <w:rPr>
          <w:rFonts w:ascii="Times New Roman" w:eastAsia="Times New Roman" w:hAnsi="Times New Roman" w:cs="Times New Roman"/>
          <w:sz w:val="20"/>
          <w:szCs w:val="20"/>
          <w:lang w:eastAsia="en-IN"/>
        </w:rPr>
        <w:t>{\</w:t>
      </w:r>
      <w:proofErr w:type="spellStart"/>
      <w:r w:rsidRPr="00C17356">
        <w:rPr>
          <w:rFonts w:ascii="Times New Roman" w:eastAsia="Times New Roman" w:hAnsi="Times New Roman" w:cs="Times New Roman"/>
          <w:sz w:val="20"/>
          <w:szCs w:val="20"/>
          <w:lang w:eastAsia="en-IN"/>
        </w:rPr>
        <w:t>mathbf</w:t>
      </w:r>
      <w:proofErr w:type="spellEnd"/>
      <w:r w:rsidRPr="00C17356">
        <w:rPr>
          <w:rFonts w:ascii="Times New Roman" w:eastAsia="Times New Roman" w:hAnsi="Times New Roman" w:cs="Times New Roman"/>
          <w:sz w:val="20"/>
          <w:szCs w:val="20"/>
          <w:lang w:eastAsia="en-IN"/>
        </w:rPr>
        <w:t>{#1}}}</w:t>
      </w:r>
      <w:r w:rsidRPr="00C17356">
        <w:rPr>
          <w:rFonts w:ascii="Times New Roman" w:eastAsia="Times New Roman" w:hAnsi="Times New Roman" w:cs="Times New Roman"/>
          <w:sz w:val="20"/>
          <w:szCs w:val="20"/>
          <w:lang w:eastAsia="en-IN"/>
        </w:rPr>
        <w:br/>
        <w:t>\]</w:t>
      </w:r>
    </w:p>
    <w:p w14:paraId="0C3A7132" w14:textId="77777777" w:rsidR="00C17356" w:rsidRPr="00C17356" w:rsidRDefault="00C17356" w:rsidP="00C17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356">
        <w:rPr>
          <w:rFonts w:ascii="Times New Roman" w:eastAsia="Times New Roman" w:hAnsi="Times New Roman" w:cs="Times New Roman"/>
          <w:b/>
          <w:bCs/>
          <w:sz w:val="36"/>
          <w:szCs w:val="36"/>
          <w:lang w:eastAsia="en-IN"/>
        </w:rPr>
        <w:t>Introduction</w:t>
      </w:r>
    </w:p>
    <w:p w14:paraId="3915448F"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During WWII Germany was pounded with about </w:t>
      </w:r>
      <w:hyperlink r:id="rId10" w:tgtFrame="_blank" w:history="1">
        <w:r w:rsidRPr="00C17356">
          <w:rPr>
            <w:rFonts w:ascii="Times New Roman" w:eastAsia="Times New Roman" w:hAnsi="Times New Roman" w:cs="Times New Roman"/>
            <w:color w:val="0000FF"/>
            <w:sz w:val="20"/>
            <w:szCs w:val="20"/>
            <w:u w:val="single"/>
            <w:lang w:eastAsia="en-IN"/>
          </w:rPr>
          <w:t xml:space="preserve">1.5 </w:t>
        </w:r>
        <w:proofErr w:type="spellStart"/>
        <w:r w:rsidRPr="00C17356">
          <w:rPr>
            <w:rFonts w:ascii="Times New Roman" w:eastAsia="Times New Roman" w:hAnsi="Times New Roman" w:cs="Times New Roman"/>
            <w:color w:val="0000FF"/>
            <w:sz w:val="20"/>
            <w:szCs w:val="20"/>
            <w:u w:val="single"/>
            <w:lang w:eastAsia="en-IN"/>
          </w:rPr>
          <w:t>mio</w:t>
        </w:r>
        <w:proofErr w:type="spellEnd"/>
        <w:r w:rsidRPr="00C17356">
          <w:rPr>
            <w:rFonts w:ascii="Times New Roman" w:eastAsia="Times New Roman" w:hAnsi="Times New Roman" w:cs="Times New Roman"/>
            <w:color w:val="0000FF"/>
            <w:sz w:val="20"/>
            <w:szCs w:val="20"/>
            <w:u w:val="single"/>
            <w:lang w:eastAsia="en-IN"/>
          </w:rPr>
          <w:t xml:space="preserve"> tons of bombs</w:t>
        </w:r>
      </w:hyperlink>
      <w:r w:rsidRPr="00C17356">
        <w:rPr>
          <w:rFonts w:ascii="Times New Roman" w:eastAsia="Times New Roman" w:hAnsi="Times New Roman" w:cs="Times New Roman"/>
          <w:sz w:val="20"/>
          <w:szCs w:val="20"/>
          <w:lang w:eastAsia="en-IN"/>
        </w:rPr>
        <w:t xml:space="preserve"> of which about 10-15% did not explode. More than 70 years after the end of WWII these unexploded bombs (UXBs) still pose a threat and are the frequent cause of </w:t>
      </w:r>
      <w:proofErr w:type="gramStart"/>
      <w:r w:rsidRPr="00C17356">
        <w:rPr>
          <w:rFonts w:ascii="Times New Roman" w:eastAsia="Times New Roman" w:hAnsi="Times New Roman" w:cs="Times New Roman"/>
          <w:sz w:val="20"/>
          <w:szCs w:val="20"/>
          <w:lang w:eastAsia="en-IN"/>
        </w:rPr>
        <w:t>large scale</w:t>
      </w:r>
      <w:proofErr w:type="gramEnd"/>
      <w:r w:rsidRPr="00C17356">
        <w:rPr>
          <w:rFonts w:ascii="Times New Roman" w:eastAsia="Times New Roman" w:hAnsi="Times New Roman" w:cs="Times New Roman"/>
          <w:sz w:val="20"/>
          <w:szCs w:val="20"/>
          <w:lang w:eastAsia="en-IN"/>
        </w:rPr>
        <w:t xml:space="preserve"> evacuations to secure their </w:t>
      </w:r>
      <w:hyperlink r:id="rId11" w:tgtFrame="_blank" w:history="1">
        <w:r w:rsidRPr="00C17356">
          <w:rPr>
            <w:rFonts w:ascii="Times New Roman" w:eastAsia="Times New Roman" w:hAnsi="Times New Roman" w:cs="Times New Roman"/>
            <w:color w:val="0000FF"/>
            <w:sz w:val="20"/>
            <w:szCs w:val="20"/>
            <w:u w:val="single"/>
            <w:lang w:eastAsia="en-IN"/>
          </w:rPr>
          <w:t>safe disposal</w:t>
        </w:r>
      </w:hyperlink>
      <w:r w:rsidRPr="00C17356">
        <w:rPr>
          <w:rFonts w:ascii="Times New Roman" w:eastAsia="Times New Roman" w:hAnsi="Times New Roman" w:cs="Times New Roman"/>
          <w:sz w:val="20"/>
          <w:szCs w:val="20"/>
          <w:lang w:eastAsia="en-IN"/>
        </w:rPr>
        <w:t xml:space="preserve"> when found. Luckily, lethal incidents are rare thanks to a huge effort to </w:t>
      </w:r>
      <w:hyperlink r:id="rId12" w:tgtFrame="_blank" w:history="1">
        <w:r w:rsidRPr="00C17356">
          <w:rPr>
            <w:rFonts w:ascii="Times New Roman" w:eastAsia="Times New Roman" w:hAnsi="Times New Roman" w:cs="Times New Roman"/>
            <w:color w:val="0000FF"/>
            <w:sz w:val="20"/>
            <w:szCs w:val="20"/>
            <w:u w:val="single"/>
            <w:lang w:eastAsia="en-IN"/>
          </w:rPr>
          <w:t>localise and safely dismantle</w:t>
        </w:r>
      </w:hyperlink>
      <w:r w:rsidRPr="00C17356">
        <w:rPr>
          <w:rFonts w:ascii="Times New Roman" w:eastAsia="Times New Roman" w:hAnsi="Times New Roman" w:cs="Times New Roman"/>
          <w:sz w:val="20"/>
          <w:szCs w:val="20"/>
          <w:lang w:eastAsia="en-IN"/>
        </w:rPr>
        <w:t xml:space="preserve"> UXBs. As part of this effort, aerial photos taken by the allies after the attacks provide valuable information about the possible locations of UXBs. Some UXBs are directly visible in the photos – see for example the green circles in this </w:t>
      </w:r>
      <w:hyperlink r:id="rId13" w:tgtFrame="_blank" w:history="1">
        <w:r w:rsidRPr="00C17356">
          <w:rPr>
            <w:rFonts w:ascii="Times New Roman" w:eastAsia="Times New Roman" w:hAnsi="Times New Roman" w:cs="Times New Roman"/>
            <w:color w:val="0000FF"/>
            <w:sz w:val="20"/>
            <w:szCs w:val="20"/>
            <w:u w:val="single"/>
            <w:lang w:eastAsia="en-IN"/>
          </w:rPr>
          <w:t>NCAP image</w:t>
        </w:r>
      </w:hyperlink>
      <w:r w:rsidRPr="00C17356">
        <w:rPr>
          <w:rFonts w:ascii="Times New Roman" w:eastAsia="Times New Roman" w:hAnsi="Times New Roman" w:cs="Times New Roman"/>
          <w:sz w:val="20"/>
          <w:szCs w:val="20"/>
          <w:lang w:eastAsia="en-IN"/>
        </w:rPr>
        <w:t xml:space="preserve"> or p. 6 in the following </w:t>
      </w:r>
      <w:hyperlink r:id="rId14" w:tgtFrame="_blank" w:history="1">
        <w:r w:rsidRPr="00C17356">
          <w:rPr>
            <w:rFonts w:ascii="Times New Roman" w:eastAsia="Times New Roman" w:hAnsi="Times New Roman" w:cs="Times New Roman"/>
            <w:color w:val="0000FF"/>
            <w:sz w:val="20"/>
            <w:szCs w:val="20"/>
            <w:u w:val="single"/>
            <w:lang w:eastAsia="en-IN"/>
          </w:rPr>
          <w:t>information flyer</w:t>
        </w:r>
      </w:hyperlink>
      <w:r w:rsidRPr="00C17356">
        <w:rPr>
          <w:rFonts w:ascii="Times New Roman" w:eastAsia="Times New Roman" w:hAnsi="Times New Roman" w:cs="Times New Roman"/>
          <w:sz w:val="20"/>
          <w:szCs w:val="20"/>
          <w:lang w:eastAsia="en-IN"/>
        </w:rPr>
        <w:t xml:space="preserve"> by one of the companies offering such aerial identification services (featured in this </w:t>
      </w:r>
      <w:hyperlink r:id="rId15" w:tgtFrame="_blank" w:history="1">
        <w:r w:rsidRPr="00C17356">
          <w:rPr>
            <w:rFonts w:ascii="Times New Roman" w:eastAsia="Times New Roman" w:hAnsi="Times New Roman" w:cs="Times New Roman"/>
            <w:color w:val="0000FF"/>
            <w:sz w:val="20"/>
            <w:szCs w:val="20"/>
            <w:u w:val="single"/>
            <w:lang w:eastAsia="en-IN"/>
          </w:rPr>
          <w:t>news article</w:t>
        </w:r>
      </w:hyperlink>
      <w:r w:rsidRPr="00C17356">
        <w:rPr>
          <w:rFonts w:ascii="Times New Roman" w:eastAsia="Times New Roman" w:hAnsi="Times New Roman" w:cs="Times New Roman"/>
          <w:sz w:val="20"/>
          <w:szCs w:val="20"/>
          <w:lang w:eastAsia="en-IN"/>
        </w:rPr>
        <w:t xml:space="preserve">). In other </w:t>
      </w:r>
      <w:proofErr w:type="gramStart"/>
      <w:r w:rsidRPr="00C17356">
        <w:rPr>
          <w:rFonts w:ascii="Times New Roman" w:eastAsia="Times New Roman" w:hAnsi="Times New Roman" w:cs="Times New Roman"/>
          <w:sz w:val="20"/>
          <w:szCs w:val="20"/>
          <w:lang w:eastAsia="en-IN"/>
        </w:rPr>
        <w:t>cases</w:t>
      </w:r>
      <w:proofErr w:type="gramEnd"/>
      <w:r w:rsidRPr="00C17356">
        <w:rPr>
          <w:rFonts w:ascii="Times New Roman" w:eastAsia="Times New Roman" w:hAnsi="Times New Roman" w:cs="Times New Roman"/>
          <w:sz w:val="20"/>
          <w:szCs w:val="20"/>
          <w:lang w:eastAsia="en-IN"/>
        </w:rPr>
        <w:t xml:space="preserve"> the photos only provide information about the location of the exploded bombs. This information can be used to identify areas where there is a high likelihood of UXBs. Such areas would then be carefully scrutinized using on-the-ground search methods, for example, electromagnetic and magnetic detectors.</w:t>
      </w:r>
    </w:p>
    <w:p w14:paraId="7FF40108"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aim of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was to develop statistical methods for the identification of such risk-zones in co-operation with </w:t>
      </w:r>
      <w:proofErr w:type="spellStart"/>
      <w:r w:rsidRPr="00C17356">
        <w:rPr>
          <w:rFonts w:ascii="Times New Roman" w:eastAsia="Times New Roman" w:hAnsi="Times New Roman" w:cs="Times New Roman"/>
          <w:i/>
          <w:iCs/>
          <w:sz w:val="20"/>
          <w:szCs w:val="20"/>
          <w:lang w:eastAsia="en-IN"/>
        </w:rPr>
        <w:t>Oberfinanzdirektion</w:t>
      </w:r>
      <w:proofErr w:type="spellEnd"/>
      <w:r w:rsidRPr="00C17356">
        <w:rPr>
          <w:rFonts w:ascii="Times New Roman" w:eastAsia="Times New Roman" w:hAnsi="Times New Roman" w:cs="Times New Roman"/>
          <w:i/>
          <w:iCs/>
          <w:sz w:val="20"/>
          <w:szCs w:val="20"/>
          <w:lang w:eastAsia="en-IN"/>
        </w:rPr>
        <w:t xml:space="preserve"> Niedersachsen</w:t>
      </w:r>
      <w:r w:rsidRPr="00C17356">
        <w:rPr>
          <w:rFonts w:ascii="Times New Roman" w:eastAsia="Times New Roman" w:hAnsi="Times New Roman" w:cs="Times New Roman"/>
          <w:sz w:val="20"/>
          <w:szCs w:val="20"/>
          <w:lang w:eastAsia="en-IN"/>
        </w:rPr>
        <w:t xml:space="preserve">, which supports the removal of unexploded ordnance in federal properties in Germany. In what follows we will discuss </w:t>
      </w:r>
      <w:r w:rsidRPr="00C17356">
        <w:rPr>
          <w:rFonts w:ascii="Times New Roman" w:eastAsia="Times New Roman" w:hAnsi="Times New Roman" w:cs="Times New Roman"/>
          <w:i/>
          <w:iCs/>
          <w:sz w:val="20"/>
          <w:szCs w:val="20"/>
          <w:lang w:eastAsia="en-IN"/>
        </w:rPr>
        <w:t>one</w:t>
      </w:r>
      <w:r w:rsidRPr="00C17356">
        <w:rPr>
          <w:rFonts w:ascii="Times New Roman" w:eastAsia="Times New Roman" w:hAnsi="Times New Roman" w:cs="Times New Roman"/>
          <w:sz w:val="20"/>
          <w:szCs w:val="20"/>
          <w:lang w:eastAsia="en-IN"/>
        </w:rPr>
        <w:t xml:space="preserve"> of the methods used in the paper, the so called </w:t>
      </w:r>
      <w:r w:rsidRPr="00C17356">
        <w:rPr>
          <w:rFonts w:ascii="Times New Roman" w:eastAsia="Times New Roman" w:hAnsi="Times New Roman" w:cs="Times New Roman"/>
          <w:b/>
          <w:bCs/>
          <w:sz w:val="20"/>
          <w:szCs w:val="20"/>
          <w:lang w:eastAsia="en-IN"/>
        </w:rPr>
        <w:t>nearest neighbourhood distance method</w:t>
      </w:r>
      <w:r w:rsidRPr="00C17356">
        <w:rPr>
          <w:rFonts w:ascii="Times New Roman" w:eastAsia="Times New Roman" w:hAnsi="Times New Roman" w:cs="Times New Roman"/>
          <w:sz w:val="20"/>
          <w:szCs w:val="20"/>
          <w:lang w:eastAsia="en-IN"/>
        </w:rPr>
        <w:t xml:space="preserve"> and illustrate its implementation in the R package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xml:space="preserve"> originally created by </w:t>
      </w:r>
      <w:hyperlink r:id="rId16" w:tgtFrame="_blank" w:history="1">
        <w:r w:rsidRPr="00C17356">
          <w:rPr>
            <w:rFonts w:ascii="Times New Roman" w:eastAsia="Times New Roman" w:hAnsi="Times New Roman" w:cs="Times New Roman"/>
            <w:color w:val="0000FF"/>
            <w:sz w:val="20"/>
            <w:szCs w:val="20"/>
            <w:u w:val="single"/>
            <w:lang w:eastAsia="en-IN"/>
          </w:rPr>
          <w:t>Heidi Seibold</w:t>
        </w:r>
      </w:hyperlink>
      <w:r w:rsidRPr="00C17356">
        <w:rPr>
          <w:rFonts w:ascii="Times New Roman" w:eastAsia="Times New Roman" w:hAnsi="Times New Roman" w:cs="Times New Roman"/>
          <w:sz w:val="20"/>
          <w:szCs w:val="20"/>
          <w:lang w:eastAsia="en-IN"/>
        </w:rPr>
        <w:t xml:space="preserve"> and now maintained by </w:t>
      </w:r>
      <w:hyperlink r:id="rId17" w:tgtFrame="_blank" w:history="1">
        <w:r w:rsidRPr="00C17356">
          <w:rPr>
            <w:rFonts w:ascii="Times New Roman" w:eastAsia="Times New Roman" w:hAnsi="Times New Roman" w:cs="Times New Roman"/>
            <w:color w:val="0000FF"/>
            <w:sz w:val="20"/>
            <w:szCs w:val="20"/>
            <w:u w:val="single"/>
            <w:lang w:eastAsia="en-IN"/>
          </w:rPr>
          <w:t>Felix Günther</w:t>
        </w:r>
      </w:hyperlink>
      <w:r w:rsidRPr="00C17356">
        <w:rPr>
          <w:rFonts w:ascii="Times New Roman" w:eastAsia="Times New Roman" w:hAnsi="Times New Roman" w:cs="Times New Roman"/>
          <w:sz w:val="20"/>
          <w:szCs w:val="20"/>
          <w:lang w:eastAsia="en-IN"/>
        </w:rPr>
        <w:t>.</w:t>
      </w:r>
    </w:p>
    <w:p w14:paraId="4ED87D00" w14:textId="77777777" w:rsidR="00C17356" w:rsidRPr="00C17356" w:rsidRDefault="00C17356" w:rsidP="00C173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356">
        <w:rPr>
          <w:rFonts w:ascii="Times New Roman" w:eastAsia="Times New Roman" w:hAnsi="Times New Roman" w:cs="Times New Roman"/>
          <w:b/>
          <w:bCs/>
          <w:sz w:val="27"/>
          <w:szCs w:val="27"/>
          <w:lang w:eastAsia="en-IN"/>
        </w:rPr>
        <w:t>Mathematical Setup</w:t>
      </w:r>
    </w:p>
    <w:p w14:paraId="624054D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Casting matters into mathematical notation: Let \(X\) be a point process denoting the spatial locations of all bombs dropped in the particular window of interest </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W \</w:t>
      </w:r>
      <w:proofErr w:type="spellStart"/>
      <w:r w:rsidRPr="00C17356">
        <w:rPr>
          <w:rFonts w:ascii="Times New Roman" w:eastAsia="Times New Roman" w:hAnsi="Times New Roman" w:cs="Times New Roman"/>
          <w:sz w:val="20"/>
          <w:szCs w:val="20"/>
          <w:lang w:eastAsia="en-IN"/>
        </w:rPr>
        <w:t>subseteq</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mathbb</w:t>
      </w:r>
      <w:proofErr w:type="spellEnd"/>
      <w:r w:rsidRPr="00C17356">
        <w:rPr>
          <w:rFonts w:ascii="Times New Roman" w:eastAsia="Times New Roman" w:hAnsi="Times New Roman" w:cs="Times New Roman"/>
          <w:sz w:val="20"/>
          <w:szCs w:val="20"/>
          <w:lang w:eastAsia="en-IN"/>
        </w:rPr>
        <w:t xml:space="preserve">{R}^2\). Furthermore, let \(Y\) denote the observed point process of exploded bomb and </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Z=X\backslash Y\) the point process of unexploded bombs. Note that only the process \(Y\) is observed; \(Z\) is not observed and the target of our inference. We assume that the probability \(q\) of a dropped bomb not exploding is homogeneous in \(W\). Thus if \(X\) is a inhomogeneous Poisson point process with intensity function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(\bm{s</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\(\bm{s}\in W\), then</w:t>
      </w:r>
    </w:p>
    <w:p w14:paraId="5902E4BD"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lastRenderedPageBreak/>
        <w:t>\[</w:t>
      </w:r>
      <w:r w:rsidRPr="00C17356">
        <w:rPr>
          <w:rFonts w:ascii="Times New Roman" w:eastAsia="Times New Roman" w:hAnsi="Times New Roman" w:cs="Times New Roman"/>
          <w:sz w:val="20"/>
          <w:szCs w:val="20"/>
          <w:lang w:eastAsia="en-IN"/>
        </w:rPr>
        <w:br/>
        <w:t>\</w:t>
      </w:r>
      <w:proofErr w:type="spellStart"/>
      <w:r w:rsidRPr="00C17356">
        <w:rPr>
          <w:rFonts w:ascii="Times New Roman" w:eastAsia="Times New Roman" w:hAnsi="Times New Roman" w:cs="Times New Roman"/>
          <w:sz w:val="20"/>
          <w:szCs w:val="20"/>
          <w:lang w:eastAsia="en-IN"/>
        </w:rPr>
        <w:t>lambda_Y</w:t>
      </w:r>
      <w:proofErr w:type="spellEnd"/>
      <w:r w:rsidRPr="00C17356">
        <w:rPr>
          <w:rFonts w:ascii="Times New Roman" w:eastAsia="Times New Roman" w:hAnsi="Times New Roman" w:cs="Times New Roman"/>
          <w:sz w:val="20"/>
          <w:szCs w:val="20"/>
          <w:lang w:eastAsia="en-IN"/>
        </w:rPr>
        <w:t>(\bm{s}) = (1-q)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(\bm{s})</w:t>
      </w:r>
      <w:r w:rsidRPr="00C17356">
        <w:rPr>
          <w:rFonts w:ascii="Times New Roman" w:eastAsia="Times New Roman" w:hAnsi="Times New Roman" w:cs="Times New Roman"/>
          <w:sz w:val="20"/>
          <w:szCs w:val="20"/>
          <w:lang w:eastAsia="en-IN"/>
        </w:rPr>
        <w:br/>
        <w:t>\quad \text{and}\quad</w:t>
      </w:r>
      <w:r w:rsidRPr="00C17356">
        <w:rPr>
          <w:rFonts w:ascii="Times New Roman" w:eastAsia="Times New Roman" w:hAnsi="Times New Roman" w:cs="Times New Roman"/>
          <w:sz w:val="20"/>
          <w:szCs w:val="20"/>
          <w:lang w:eastAsia="en-IN"/>
        </w:rPr>
        <w:br/>
        <w:t>\</w:t>
      </w:r>
      <w:proofErr w:type="spellStart"/>
      <w:r w:rsidRPr="00C17356">
        <w:rPr>
          <w:rFonts w:ascii="Times New Roman" w:eastAsia="Times New Roman" w:hAnsi="Times New Roman" w:cs="Times New Roman"/>
          <w:sz w:val="20"/>
          <w:szCs w:val="20"/>
          <w:lang w:eastAsia="en-IN"/>
        </w:rPr>
        <w:t>lambda_Z</w:t>
      </w:r>
      <w:proofErr w:type="spellEnd"/>
      <w:r w:rsidRPr="00C17356">
        <w:rPr>
          <w:rFonts w:ascii="Times New Roman" w:eastAsia="Times New Roman" w:hAnsi="Times New Roman" w:cs="Times New Roman"/>
          <w:sz w:val="20"/>
          <w:szCs w:val="20"/>
          <w:lang w:eastAsia="en-IN"/>
        </w:rPr>
        <w:t>(\bm{s}) = q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(\bm{s})</w:t>
      </w:r>
      <w:r w:rsidRPr="00C17356">
        <w:rPr>
          <w:rFonts w:ascii="Times New Roman" w:eastAsia="Times New Roman" w:hAnsi="Times New Roman" w:cs="Times New Roman"/>
          <w:sz w:val="20"/>
          <w:szCs w:val="20"/>
          <w:lang w:eastAsia="en-IN"/>
        </w:rPr>
        <w:br/>
        <w:t>\]</w:t>
      </w:r>
    </w:p>
    <w:p w14:paraId="5F0E0871"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are the intensity functions of \(Y\) and \(Z\), </w:t>
      </w:r>
      <w:proofErr w:type="gramStart"/>
      <w:r w:rsidRPr="00C17356">
        <w:rPr>
          <w:rFonts w:ascii="Times New Roman" w:eastAsia="Times New Roman" w:hAnsi="Times New Roman" w:cs="Times New Roman"/>
          <w:sz w:val="20"/>
          <w:szCs w:val="20"/>
          <w:lang w:eastAsia="en-IN"/>
        </w:rPr>
        <w:t>respectively.</w:t>
      </w:r>
      <w:proofErr w:type="gramEnd"/>
    </w:p>
    <w:p w14:paraId="3866B277"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figure below shows \(Y\) for an actual observed WWII bomb point consisting of n=443 bombs available from the R package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xml:space="preserve"> (Seibold et al. 2017). The observation window contains a particular area of interest for which a risk assessment needs to be done – often these contain a known WWII military target, e.g., an airport, an arms factory or a military casern. In order to not disclose the exact location of the considered area, coordinates are given relative to an arbitrary </w:t>
      </w:r>
      <w:proofErr w:type="spellStart"/>
      <w:r w:rsidRPr="00C17356">
        <w:rPr>
          <w:rFonts w:ascii="Times New Roman" w:eastAsia="Times New Roman" w:hAnsi="Times New Roman" w:cs="Times New Roman"/>
          <w:sz w:val="20"/>
          <w:szCs w:val="20"/>
          <w:lang w:eastAsia="en-IN"/>
        </w:rPr>
        <w:t>origo</w:t>
      </w:r>
      <w:proofErr w:type="spellEnd"/>
      <w:r w:rsidRPr="00C17356">
        <w:rPr>
          <w:rFonts w:ascii="Times New Roman" w:eastAsia="Times New Roman" w:hAnsi="Times New Roman" w:cs="Times New Roman"/>
          <w:sz w:val="20"/>
          <w:szCs w:val="20"/>
          <w:lang w:eastAsia="en-IN"/>
        </w:rPr>
        <w:t>. In reality one would closely link such digitized aerial images to other terrain features using a GIS system.</w:t>
      </w:r>
    </w:p>
    <w:p w14:paraId="56D949C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library(</w:t>
      </w:r>
      <w:proofErr w:type="spellStart"/>
      <w:r w:rsidRPr="00C17356">
        <w:rPr>
          <w:rFonts w:ascii="Courier New" w:eastAsia="Times New Roman" w:hAnsi="Courier New" w:cs="Courier New"/>
          <w:sz w:val="20"/>
          <w:szCs w:val="20"/>
          <w:lang w:eastAsia="en-IN"/>
        </w:rPr>
        <w:t>highriskzone</w:t>
      </w:r>
      <w:proofErr w:type="spellEnd"/>
      <w:r w:rsidRPr="00C17356">
        <w:rPr>
          <w:rFonts w:ascii="Courier New" w:eastAsia="Times New Roman" w:hAnsi="Courier New" w:cs="Courier New"/>
          <w:sz w:val="20"/>
          <w:szCs w:val="20"/>
          <w:lang w:eastAsia="en-IN"/>
        </w:rPr>
        <w:t>)</w:t>
      </w:r>
    </w:p>
    <w:p w14:paraId="68F0739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library(</w:t>
      </w:r>
      <w:proofErr w:type="spellStart"/>
      <w:r w:rsidRPr="00C17356">
        <w:rPr>
          <w:rFonts w:ascii="Courier New" w:eastAsia="Times New Roman" w:hAnsi="Courier New" w:cs="Courier New"/>
          <w:sz w:val="20"/>
          <w:szCs w:val="20"/>
          <w:lang w:eastAsia="en-IN"/>
        </w:rPr>
        <w:t>spatstat</w:t>
      </w:r>
      <w:proofErr w:type="spellEnd"/>
      <w:r w:rsidRPr="00C17356">
        <w:rPr>
          <w:rFonts w:ascii="Courier New" w:eastAsia="Times New Roman" w:hAnsi="Courier New" w:cs="Courier New"/>
          <w:sz w:val="20"/>
          <w:szCs w:val="20"/>
          <w:lang w:eastAsia="en-IN"/>
        </w:rPr>
        <w:t>)</w:t>
      </w:r>
    </w:p>
    <w:p w14:paraId="6B8F644F"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data(</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w:t>
      </w:r>
    </w:p>
    <w:p w14:paraId="77081F9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summary(</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w:t>
      </w:r>
    </w:p>
    <w:p w14:paraId="0DB0A51F"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Planar point pattern:  443 points</w:t>
      </w:r>
    </w:p>
    <w:p w14:paraId="4CBB51D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Average intensity 0.0001082477 points per square unit</w:t>
      </w:r>
    </w:p>
    <w:p w14:paraId="493F1B5D"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1509A77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Coordinates are given to 4 decimal places</w:t>
      </w:r>
    </w:p>
    <w:p w14:paraId="2E6A2A3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39E168D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Window: polygonal boundary</w:t>
      </w:r>
    </w:p>
    <w:p w14:paraId="17803EE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single connected closed polygon with 208 vertices</w:t>
      </w:r>
    </w:p>
    <w:p w14:paraId="2DF8DC63"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enclosing rectangle: [0, 2334.3758] x [0, 2456.4061] units</w:t>
      </w:r>
    </w:p>
    <w:p w14:paraId="3F2B809B"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Window area = 4092470 square units</w:t>
      </w:r>
    </w:p>
    <w:p w14:paraId="02F18E7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Fraction of frame area: 0.714</w:t>
      </w:r>
    </w:p>
    <w:p w14:paraId="07F2D14F"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noProof/>
          <w:sz w:val="20"/>
          <w:szCs w:val="20"/>
          <w:lang w:eastAsia="en-IN"/>
        </w:rPr>
        <w:drawing>
          <wp:inline distT="0" distB="0" distL="0" distR="0" wp14:anchorId="62B19B67" wp14:editId="52A3B94D">
            <wp:extent cx="4343400" cy="3261360"/>
            <wp:effectExtent l="0" t="0" r="0" b="0"/>
            <wp:docPr id="8" name="Picture 8" descr="Observed bomb point pattern ($Y$) within the observation window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served bomb point pattern ($Y$) within the observation window $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r w:rsidRPr="00C17356">
        <w:rPr>
          <w:rFonts w:ascii="Times New Roman" w:eastAsia="Times New Roman" w:hAnsi="Times New Roman" w:cs="Times New Roman"/>
          <w:sz w:val="20"/>
          <w:szCs w:val="20"/>
          <w:lang w:eastAsia="en-IN"/>
        </w:rPr>
        <w:t xml:space="preserve">The point pattern </w:t>
      </w:r>
      <w:proofErr w:type="spellStart"/>
      <w:r w:rsidRPr="00C17356">
        <w:rPr>
          <w:rFonts w:ascii="Courier New" w:eastAsia="Times New Roman" w:hAnsi="Courier New" w:cs="Courier New"/>
          <w:sz w:val="20"/>
          <w:szCs w:val="20"/>
          <w:lang w:eastAsia="en-IN"/>
        </w:rPr>
        <w:t>craterA</w:t>
      </w:r>
      <w:proofErr w:type="spellEnd"/>
      <w:r w:rsidRPr="00C17356">
        <w:rPr>
          <w:rFonts w:ascii="Times New Roman" w:eastAsia="Times New Roman" w:hAnsi="Times New Roman" w:cs="Times New Roman"/>
          <w:sz w:val="20"/>
          <w:szCs w:val="20"/>
          <w:lang w:eastAsia="en-IN"/>
        </w:rPr>
        <w:t xml:space="preserve"> corresponding to an instance of the process \(Y\) is provided in R as an object of class </w:t>
      </w:r>
      <w:proofErr w:type="spellStart"/>
      <w:r w:rsidRPr="00C17356">
        <w:rPr>
          <w:rFonts w:ascii="Times New Roman" w:eastAsia="Times New Roman" w:hAnsi="Times New Roman" w:cs="Times New Roman"/>
          <w:sz w:val="20"/>
          <w:szCs w:val="20"/>
          <w:lang w:eastAsia="en-IN"/>
        </w:rPr>
        <w:t>ppp</w:t>
      </w:r>
      <w:proofErr w:type="spellEnd"/>
      <w:r w:rsidRPr="00C17356">
        <w:rPr>
          <w:rFonts w:ascii="Times New Roman" w:eastAsia="Times New Roman" w:hAnsi="Times New Roman" w:cs="Times New Roman"/>
          <w:sz w:val="20"/>
          <w:szCs w:val="20"/>
          <w:lang w:eastAsia="en-IN"/>
        </w:rPr>
        <w:t xml:space="preserve"> from the R package </w:t>
      </w:r>
      <w:proofErr w:type="spellStart"/>
      <w:r w:rsidRPr="00C17356">
        <w:rPr>
          <w:rFonts w:ascii="Courier New" w:eastAsia="Times New Roman" w:hAnsi="Courier New" w:cs="Courier New"/>
          <w:sz w:val="20"/>
          <w:szCs w:val="20"/>
          <w:lang w:eastAsia="en-IN"/>
        </w:rPr>
        <w:t>spatstat</w:t>
      </w:r>
      <w:proofErr w:type="spellEnd"/>
      <w:r w:rsidRPr="00C17356">
        <w:rPr>
          <w:rFonts w:ascii="Times New Roman" w:eastAsia="Times New Roman" w:hAnsi="Times New Roman" w:cs="Times New Roman"/>
          <w:sz w:val="20"/>
          <w:szCs w:val="20"/>
          <w:lang w:eastAsia="en-IN"/>
        </w:rPr>
        <w:t xml:space="preserve"> (Baddeley, Rubak, and Turner 2015). Instead of inferring the locations in \(Z\) directly, we shall be interested in determining a region within \(W\), a </w:t>
      </w:r>
      <w:proofErr w:type="gramStart"/>
      <w:r w:rsidRPr="00C17356">
        <w:rPr>
          <w:rFonts w:ascii="Times New Roman" w:eastAsia="Times New Roman" w:hAnsi="Times New Roman" w:cs="Times New Roman"/>
          <w:sz w:val="20"/>
          <w:szCs w:val="20"/>
          <w:lang w:eastAsia="en-IN"/>
        </w:rPr>
        <w:t xml:space="preserve">so called </w:t>
      </w:r>
      <w:r w:rsidRPr="00C17356">
        <w:rPr>
          <w:rFonts w:ascii="Times New Roman" w:eastAsia="Times New Roman" w:hAnsi="Times New Roman" w:cs="Times New Roman"/>
          <w:b/>
          <w:bCs/>
          <w:sz w:val="20"/>
          <w:szCs w:val="20"/>
          <w:lang w:eastAsia="en-IN"/>
        </w:rPr>
        <w:t>high risk</w:t>
      </w:r>
      <w:proofErr w:type="gramEnd"/>
      <w:r w:rsidRPr="00C17356">
        <w:rPr>
          <w:rFonts w:ascii="Times New Roman" w:eastAsia="Times New Roman" w:hAnsi="Times New Roman" w:cs="Times New Roman"/>
          <w:b/>
          <w:bCs/>
          <w:sz w:val="20"/>
          <w:szCs w:val="20"/>
          <w:lang w:eastAsia="en-IN"/>
        </w:rPr>
        <w:t xml:space="preserve"> zone</w:t>
      </w:r>
      <w:r w:rsidRPr="00C17356">
        <w:rPr>
          <w:rFonts w:ascii="Times New Roman" w:eastAsia="Times New Roman" w:hAnsi="Times New Roman" w:cs="Times New Roman"/>
          <w:sz w:val="20"/>
          <w:szCs w:val="20"/>
          <w:lang w:eastAsia="en-IN"/>
        </w:rPr>
        <w:t>, which with a high likelihood contains the points of \(Z\). We shall consider two methods for this job: a non-parametric method based on nearest neighbour distances in \(Y\) and an intensity function based inhomogeneous Poisson process approach incorporating \(q\).</w:t>
      </w:r>
    </w:p>
    <w:p w14:paraId="09547D06" w14:textId="77777777" w:rsidR="00C17356" w:rsidRPr="00C17356" w:rsidRDefault="00C17356" w:rsidP="00C173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356">
        <w:rPr>
          <w:rFonts w:ascii="Times New Roman" w:eastAsia="Times New Roman" w:hAnsi="Times New Roman" w:cs="Times New Roman"/>
          <w:b/>
          <w:bCs/>
          <w:sz w:val="27"/>
          <w:szCs w:val="27"/>
          <w:lang w:eastAsia="en-IN"/>
        </w:rPr>
        <w:lastRenderedPageBreak/>
        <w:t>High Risk Zones</w:t>
      </w:r>
    </w:p>
    <w:p w14:paraId="094D17EE"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A heuristic way to determine a high-risk zone is the following: Determine the distribution function \(D\) of the nearest neighbour distance (NND) distribution based on the 443 points in the point pattern. Use the distribution to determine a desired quantile, say </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0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p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1\) of the NND distribution. Denoting the \(p\) sample quantile of the NND distribution by \(Q(p)\), a \(p\)-quantile NND based high-risk zone is then obtained as the union of putting a disc of radius \(</w:t>
      </w:r>
      <w:proofErr w:type="spellStart"/>
      <w:r w:rsidRPr="00C17356">
        <w:rPr>
          <w:rFonts w:ascii="Times New Roman" w:eastAsia="Times New Roman" w:hAnsi="Times New Roman" w:cs="Times New Roman"/>
          <w:sz w:val="20"/>
          <w:szCs w:val="20"/>
          <w:lang w:eastAsia="en-IN"/>
        </w:rPr>
        <w:t>x_q</w:t>
      </w:r>
      <w:proofErr w:type="spellEnd"/>
      <w:r w:rsidRPr="00C17356">
        <w:rPr>
          <w:rFonts w:ascii="Times New Roman" w:eastAsia="Times New Roman" w:hAnsi="Times New Roman" w:cs="Times New Roman"/>
          <w:sz w:val="20"/>
          <w:szCs w:val="20"/>
          <w:lang w:eastAsia="en-IN"/>
        </w:rPr>
        <w:t>\) around each observed exploded bomb in \(Y\) – in mathematical terms:</w:t>
      </w:r>
    </w:p>
    <w:p w14:paraId="6D9BB7FD"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br/>
      </w:r>
      <w:proofErr w:type="spellStart"/>
      <w:r w:rsidRPr="00C17356">
        <w:rPr>
          <w:rFonts w:ascii="Times New Roman" w:eastAsia="Times New Roman" w:hAnsi="Times New Roman" w:cs="Times New Roman"/>
          <w:sz w:val="20"/>
          <w:szCs w:val="20"/>
          <w:lang w:eastAsia="en-IN"/>
        </w:rPr>
        <w:t>R_p</w:t>
      </w:r>
      <w:proofErr w:type="spellEnd"/>
      <w:r w:rsidRPr="00C17356">
        <w:rPr>
          <w:rFonts w:ascii="Times New Roman" w:eastAsia="Times New Roman" w:hAnsi="Times New Roman" w:cs="Times New Roman"/>
          <w:sz w:val="20"/>
          <w:szCs w:val="20"/>
          <w:lang w:eastAsia="en-IN"/>
        </w:rPr>
        <w:t xml:space="preserve"> = \left(\</w:t>
      </w:r>
      <w:proofErr w:type="spellStart"/>
      <w:r w:rsidRPr="00C17356">
        <w:rPr>
          <w:rFonts w:ascii="Times New Roman" w:eastAsia="Times New Roman" w:hAnsi="Times New Roman" w:cs="Times New Roman"/>
          <w:sz w:val="20"/>
          <w:szCs w:val="20"/>
          <w:lang w:eastAsia="en-IN"/>
        </w:rPr>
        <w:t>bigcup</w:t>
      </w:r>
      <w:proofErr w:type="spellEnd"/>
      <w:r w:rsidRPr="00C17356">
        <w:rPr>
          <w:rFonts w:ascii="Times New Roman" w:eastAsia="Times New Roman" w:hAnsi="Times New Roman" w:cs="Times New Roman"/>
          <w:sz w:val="20"/>
          <w:szCs w:val="20"/>
          <w:lang w:eastAsia="en-IN"/>
        </w:rPr>
        <w:t>_{\bm{y} \in Y} B(\bm{y}, Q(p))\right) \</w:t>
      </w:r>
      <w:proofErr w:type="spellStart"/>
      <w:r w:rsidRPr="00C17356">
        <w:rPr>
          <w:rFonts w:ascii="Times New Roman" w:eastAsia="Times New Roman" w:hAnsi="Times New Roman" w:cs="Times New Roman"/>
          <w:sz w:val="20"/>
          <w:szCs w:val="20"/>
          <w:lang w:eastAsia="en-IN"/>
        </w:rPr>
        <w:t>bigcap</w:t>
      </w:r>
      <w:proofErr w:type="spellEnd"/>
      <w:r w:rsidRPr="00C17356">
        <w:rPr>
          <w:rFonts w:ascii="Times New Roman" w:eastAsia="Times New Roman" w:hAnsi="Times New Roman" w:cs="Times New Roman"/>
          <w:sz w:val="20"/>
          <w:szCs w:val="20"/>
          <w:lang w:eastAsia="en-IN"/>
        </w:rPr>
        <w:t xml:space="preserve"> W =</w:t>
      </w:r>
      <w:r w:rsidRPr="00C17356">
        <w:rPr>
          <w:rFonts w:ascii="Times New Roman" w:eastAsia="Times New Roman" w:hAnsi="Times New Roman" w:cs="Times New Roman"/>
          <w:sz w:val="20"/>
          <w:szCs w:val="20"/>
          <w:lang w:eastAsia="en-IN"/>
        </w:rPr>
        <w:br/>
        <w:t>\left\{\bm{s} \in W : \min_{\bm{y}\in Y} || \bm{s} − \bm{y} ||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Q_Y(p) \right\},</w:t>
      </w:r>
      <w:r w:rsidRPr="00C17356">
        <w:rPr>
          <w:rFonts w:ascii="Times New Roman" w:eastAsia="Times New Roman" w:hAnsi="Times New Roman" w:cs="Times New Roman"/>
          <w:sz w:val="20"/>
          <w:szCs w:val="20"/>
          <w:lang w:eastAsia="en-IN"/>
        </w:rPr>
        <w:br/>
        <w:t>\]</w:t>
      </w:r>
    </w:p>
    <w:p w14:paraId="09EE567F"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where \(B(\bm{s}, </w:t>
      </w:r>
      <w:proofErr w:type="gramStart"/>
      <w:r w:rsidRPr="00C17356">
        <w:rPr>
          <w:rFonts w:ascii="Times New Roman" w:eastAsia="Times New Roman" w:hAnsi="Times New Roman" w:cs="Times New Roman"/>
          <w:sz w:val="20"/>
          <w:szCs w:val="20"/>
          <w:lang w:eastAsia="en-IN"/>
        </w:rPr>
        <w:t>r)\</w:t>
      </w:r>
      <w:proofErr w:type="gramEnd"/>
      <w:r w:rsidRPr="00C17356">
        <w:rPr>
          <w:rFonts w:ascii="Times New Roman" w:eastAsia="Times New Roman" w:hAnsi="Times New Roman" w:cs="Times New Roman"/>
          <w:sz w:val="20"/>
          <w:szCs w:val="20"/>
          <w:lang w:eastAsia="en-IN"/>
        </w:rPr>
        <w:t xml:space="preserve">) denotes a disc of radius \(r\) around the point \(\bm{s}\) and \(||\bm{s} – \bm{y}||\) is the distance between the two points \(\bm{s}\) and \(\bm{y}\). The intersection with \(W\) is done in order to guarantee that the risk zone lies entirely within \(W\). As an example, we would determine the 99%-quantile NND zone for </w:t>
      </w:r>
      <w:proofErr w:type="spellStart"/>
      <w:r w:rsidRPr="00C17356">
        <w:rPr>
          <w:rFonts w:ascii="Courier New" w:eastAsia="Times New Roman" w:hAnsi="Courier New" w:cs="Courier New"/>
          <w:sz w:val="20"/>
          <w:szCs w:val="20"/>
          <w:lang w:eastAsia="en-IN"/>
        </w:rPr>
        <w:t>craterA</w:t>
      </w:r>
      <w:proofErr w:type="spellEnd"/>
      <w:r w:rsidRPr="00C17356">
        <w:rPr>
          <w:rFonts w:ascii="Times New Roman" w:eastAsia="Times New Roman" w:hAnsi="Times New Roman" w:cs="Times New Roman"/>
          <w:sz w:val="20"/>
          <w:szCs w:val="20"/>
          <w:lang w:eastAsia="en-IN"/>
        </w:rPr>
        <w:t xml:space="preserve"> using </w:t>
      </w:r>
      <w:proofErr w:type="spellStart"/>
      <w:r w:rsidRPr="00C17356">
        <w:rPr>
          <w:rFonts w:ascii="Courier New" w:eastAsia="Times New Roman" w:hAnsi="Courier New" w:cs="Courier New"/>
          <w:sz w:val="20"/>
          <w:szCs w:val="20"/>
          <w:lang w:eastAsia="en-IN"/>
        </w:rPr>
        <w:t>spatstat</w:t>
      </w:r>
      <w:proofErr w:type="spellEnd"/>
      <w:r w:rsidRPr="00C17356">
        <w:rPr>
          <w:rFonts w:ascii="Times New Roman" w:eastAsia="Times New Roman" w:hAnsi="Times New Roman" w:cs="Times New Roman"/>
          <w:sz w:val="20"/>
          <w:szCs w:val="20"/>
          <w:lang w:eastAsia="en-IN"/>
        </w:rPr>
        <w:t xml:space="preserve"> functionality as follows:</w:t>
      </w:r>
    </w:p>
    <w:p w14:paraId="1778F89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Qp</w:t>
      </w:r>
      <w:proofErr w:type="spellEnd"/>
      <w:r w:rsidRPr="00C17356">
        <w:rPr>
          <w:rFonts w:ascii="Courier New" w:eastAsia="Times New Roman" w:hAnsi="Courier New" w:cs="Courier New"/>
          <w:sz w:val="20"/>
          <w:szCs w:val="20"/>
          <w:lang w:eastAsia="en-IN"/>
        </w:rPr>
        <w:t xml:space="preserve"> &lt;- quantile(</w:t>
      </w:r>
      <w:proofErr w:type="spellStart"/>
      <w:r w:rsidRPr="00C17356">
        <w:rPr>
          <w:rFonts w:ascii="Courier New" w:eastAsia="Times New Roman" w:hAnsi="Courier New" w:cs="Courier New"/>
          <w:sz w:val="20"/>
          <w:szCs w:val="20"/>
          <w:lang w:eastAsia="en-IN"/>
        </w:rPr>
        <w:t>nndist</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p = 0.99, type = 8))</w:t>
      </w:r>
    </w:p>
    <w:p w14:paraId="16E48F8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99% </w:t>
      </w:r>
    </w:p>
    <w:p w14:paraId="5962A7AC"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142.1391</w:t>
      </w:r>
    </w:p>
    <w:p w14:paraId="38C760D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dmap</w:t>
      </w:r>
      <w:proofErr w:type="spellEnd"/>
      <w:r w:rsidRPr="00C17356">
        <w:rPr>
          <w:rFonts w:ascii="Courier New" w:eastAsia="Times New Roman" w:hAnsi="Courier New" w:cs="Courier New"/>
          <w:sz w:val="20"/>
          <w:szCs w:val="20"/>
          <w:lang w:eastAsia="en-IN"/>
        </w:rPr>
        <w:t xml:space="preserve"> &lt;- </w:t>
      </w:r>
      <w:proofErr w:type="spellStart"/>
      <w:r w:rsidRPr="00C17356">
        <w:rPr>
          <w:rFonts w:ascii="Courier New" w:eastAsia="Times New Roman" w:hAnsi="Courier New" w:cs="Courier New"/>
          <w:sz w:val="20"/>
          <w:szCs w:val="20"/>
          <w:lang w:eastAsia="en-IN"/>
        </w:rPr>
        <w:t>distmap</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w:t>
      </w:r>
    </w:p>
    <w:p w14:paraId="53DA7BB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zone_dist</w:t>
      </w:r>
      <w:proofErr w:type="spellEnd"/>
      <w:r w:rsidRPr="00C17356">
        <w:rPr>
          <w:rFonts w:ascii="Courier New" w:eastAsia="Times New Roman" w:hAnsi="Courier New" w:cs="Courier New"/>
          <w:sz w:val="20"/>
          <w:szCs w:val="20"/>
          <w:lang w:eastAsia="en-IN"/>
        </w:rPr>
        <w:t xml:space="preserve"> &lt;- </w:t>
      </w:r>
      <w:proofErr w:type="gramStart"/>
      <w:r w:rsidRPr="00C17356">
        <w:rPr>
          <w:rFonts w:ascii="Courier New" w:eastAsia="Times New Roman" w:hAnsi="Courier New" w:cs="Courier New"/>
          <w:sz w:val="20"/>
          <w:szCs w:val="20"/>
          <w:lang w:eastAsia="en-IN"/>
        </w:rPr>
        <w:t xml:space="preserve">eval.im( </w:t>
      </w:r>
      <w:proofErr w:type="spellStart"/>
      <w:r w:rsidRPr="00C17356">
        <w:rPr>
          <w:rFonts w:ascii="Courier New" w:eastAsia="Times New Roman" w:hAnsi="Courier New" w:cs="Courier New"/>
          <w:sz w:val="20"/>
          <w:szCs w:val="20"/>
          <w:lang w:eastAsia="en-IN"/>
        </w:rPr>
        <w:t>dmap</w:t>
      </w:r>
      <w:proofErr w:type="spellEnd"/>
      <w:proofErr w:type="gramEnd"/>
      <w:r w:rsidRPr="00C17356">
        <w:rPr>
          <w:rFonts w:ascii="Courier New" w:eastAsia="Times New Roman" w:hAnsi="Courier New" w:cs="Courier New"/>
          <w:sz w:val="20"/>
          <w:szCs w:val="20"/>
          <w:lang w:eastAsia="en-IN"/>
        </w:rPr>
        <w:t xml:space="preserve"> &lt; </w:t>
      </w:r>
      <w:proofErr w:type="spellStart"/>
      <w:r w:rsidRPr="00C17356">
        <w:rPr>
          <w:rFonts w:ascii="Courier New" w:eastAsia="Times New Roman" w:hAnsi="Courier New" w:cs="Courier New"/>
          <w:sz w:val="20"/>
          <w:szCs w:val="20"/>
          <w:lang w:eastAsia="en-IN"/>
        </w:rPr>
        <w:t>Qp</w:t>
      </w:r>
      <w:proofErr w:type="spellEnd"/>
      <w:r w:rsidRPr="00C17356">
        <w:rPr>
          <w:rFonts w:ascii="Courier New" w:eastAsia="Times New Roman" w:hAnsi="Courier New" w:cs="Courier New"/>
          <w:sz w:val="20"/>
          <w:szCs w:val="20"/>
          <w:lang w:eastAsia="en-IN"/>
        </w:rPr>
        <w:t xml:space="preserve"> )</w:t>
      </w:r>
    </w:p>
    <w:p w14:paraId="7FC8AEA9"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above can also be done directly using </w:t>
      </w:r>
      <w:proofErr w:type="spellStart"/>
      <w:proofErr w:type="gramStart"/>
      <w:r w:rsidRPr="00C17356">
        <w:rPr>
          <w:rFonts w:ascii="Courier New" w:eastAsia="Times New Roman" w:hAnsi="Courier New" w:cs="Courier New"/>
          <w:sz w:val="20"/>
          <w:szCs w:val="20"/>
          <w:lang w:eastAsia="en-IN"/>
        </w:rPr>
        <w:t>highriskzone</w:t>
      </w:r>
      <w:proofErr w:type="spellEnd"/>
      <w:r w:rsidRPr="00C17356">
        <w:rPr>
          <w:rFonts w:ascii="Courier New" w:eastAsia="Times New Roman" w:hAnsi="Courier New" w:cs="Courier New"/>
          <w:sz w:val="20"/>
          <w:szCs w:val="20"/>
          <w:lang w:eastAsia="en-IN"/>
        </w:rPr>
        <w:t>::</w:t>
      </w:r>
      <w:proofErr w:type="spellStart"/>
      <w:proofErr w:type="gramEnd"/>
      <w:r w:rsidRPr="00C17356">
        <w:rPr>
          <w:rFonts w:ascii="Courier New" w:eastAsia="Times New Roman" w:hAnsi="Courier New" w:cs="Courier New"/>
          <w:sz w:val="20"/>
          <w:szCs w:val="20"/>
          <w:lang w:eastAsia="en-IN"/>
        </w:rPr>
        <w:t>det_hrz</w:t>
      </w:r>
      <w:proofErr w:type="spellEnd"/>
      <w:r w:rsidRPr="00C17356">
        <w:rPr>
          <w:rFonts w:ascii="Times New Roman" w:eastAsia="Times New Roman" w:hAnsi="Times New Roman" w:cs="Times New Roman"/>
          <w:sz w:val="20"/>
          <w:szCs w:val="20"/>
          <w:lang w:eastAsia="en-IN"/>
        </w:rPr>
        <w:t xml:space="preserve"> function:</w:t>
      </w:r>
    </w:p>
    <w:p w14:paraId="50E1766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zone_dist</w:t>
      </w:r>
      <w:proofErr w:type="spellEnd"/>
      <w:r w:rsidRPr="00C17356">
        <w:rPr>
          <w:rFonts w:ascii="Courier New" w:eastAsia="Times New Roman" w:hAnsi="Courier New" w:cs="Courier New"/>
          <w:sz w:val="20"/>
          <w:szCs w:val="20"/>
          <w:lang w:eastAsia="en-IN"/>
        </w:rPr>
        <w:t xml:space="preserve"> &lt;- </w:t>
      </w:r>
      <w:proofErr w:type="spellStart"/>
      <w:r w:rsidRPr="00C17356">
        <w:rPr>
          <w:rFonts w:ascii="Courier New" w:eastAsia="Times New Roman" w:hAnsi="Courier New" w:cs="Courier New"/>
          <w:sz w:val="20"/>
          <w:szCs w:val="20"/>
          <w:lang w:eastAsia="en-IN"/>
        </w:rPr>
        <w:t>det_</w:t>
      </w:r>
      <w:proofErr w:type="gramStart"/>
      <w:r w:rsidRPr="00C17356">
        <w:rPr>
          <w:rFonts w:ascii="Courier New" w:eastAsia="Times New Roman" w:hAnsi="Courier New" w:cs="Courier New"/>
          <w:sz w:val="20"/>
          <w:szCs w:val="20"/>
          <w:lang w:eastAsia="en-IN"/>
        </w:rPr>
        <w:t>hrz</w:t>
      </w:r>
      <w:proofErr w:type="spellEnd"/>
      <w:r w:rsidRPr="00C17356">
        <w:rPr>
          <w:rFonts w:ascii="Courier New" w:eastAsia="Times New Roman" w:hAnsi="Courier New" w:cs="Courier New"/>
          <w:sz w:val="20"/>
          <w:szCs w:val="20"/>
          <w:lang w:eastAsia="en-IN"/>
        </w:rPr>
        <w:t>(</w:t>
      </w:r>
      <w:proofErr w:type="spellStart"/>
      <w:proofErr w:type="gramEnd"/>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type="</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xml:space="preserve">", criterion = "indirect",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=0.99)</w:t>
      </w:r>
    </w:p>
    <w:p w14:paraId="7488A56F"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Either way, the resulting risk-zone is as follows:</w:t>
      </w:r>
    </w:p>
    <w:p w14:paraId="393F86DD"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summary(</w:t>
      </w:r>
      <w:proofErr w:type="spellStart"/>
      <w:r w:rsidRPr="00C17356">
        <w:rPr>
          <w:rFonts w:ascii="Courier New" w:eastAsia="Times New Roman" w:hAnsi="Courier New" w:cs="Courier New"/>
          <w:sz w:val="20"/>
          <w:szCs w:val="20"/>
          <w:lang w:eastAsia="en-IN"/>
        </w:rPr>
        <w:t>zone_dist</w:t>
      </w:r>
      <w:proofErr w:type="spellEnd"/>
      <w:r w:rsidRPr="00C17356">
        <w:rPr>
          <w:rFonts w:ascii="Courier New" w:eastAsia="Times New Roman" w:hAnsi="Courier New" w:cs="Courier New"/>
          <w:sz w:val="20"/>
          <w:szCs w:val="20"/>
          <w:lang w:eastAsia="en-IN"/>
        </w:rPr>
        <w:t>)</w:t>
      </w:r>
    </w:p>
    <w:p w14:paraId="5525A9B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high-risk zone of type </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xml:space="preserve">  </w:t>
      </w:r>
    </w:p>
    <w:p w14:paraId="20ECE51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criterion: indirect  </w:t>
      </w:r>
    </w:p>
    <w:p w14:paraId="3B1D76C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 xml:space="preserve">: 0.99  </w:t>
      </w:r>
    </w:p>
    <w:p w14:paraId="746183F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5C10308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threshold: 142.1391  </w:t>
      </w:r>
    </w:p>
    <w:p w14:paraId="7422CC3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area of the high-risk zone: 2574507</w:t>
      </w:r>
    </w:p>
    <w:p w14:paraId="760128A7"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noProof/>
          <w:sz w:val="20"/>
          <w:szCs w:val="20"/>
          <w:lang w:eastAsia="en-IN"/>
        </w:rPr>
        <w:lastRenderedPageBreak/>
        <w:drawing>
          <wp:inline distT="0" distB="0" distL="0" distR="0" wp14:anchorId="6E08949D" wp14:editId="5A3A3C7A">
            <wp:extent cx="4343400" cy="3261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show that risk zones constructed by the NND method work surprisingly well despite lacking a clear theoretical justification. One theoretical issue is, for example, that the NND distribution function determined by the above method is for the \((1-</w:t>
      </w:r>
      <w:proofErr w:type="gramStart"/>
      <w:r w:rsidRPr="00C17356">
        <w:rPr>
          <w:rFonts w:ascii="Times New Roman" w:eastAsia="Times New Roman" w:hAnsi="Times New Roman" w:cs="Times New Roman"/>
          <w:sz w:val="20"/>
          <w:szCs w:val="20"/>
          <w:lang w:eastAsia="en-IN"/>
        </w:rPr>
        <w:t>q)\</w:t>
      </w:r>
      <w:proofErr w:type="gramEnd"/>
      <w:r w:rsidRPr="00C17356">
        <w:rPr>
          <w:rFonts w:ascii="Times New Roman" w:eastAsia="Times New Roman" w:hAnsi="Times New Roman" w:cs="Times New Roman"/>
          <w:sz w:val="20"/>
          <w:szCs w:val="20"/>
          <w:lang w:eastAsia="en-IN"/>
        </w:rPr>
        <w:t>) thinned process \(Y\), even though the actual interest is in the process \(X=Y\cup Z\). Because of the thinning one would typically have that \(D_Y(r)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D_X(r)\) and thus \(Q_Y(p) &gt; Q_X(p)\). Using \(Q_Y(p)\) to make statements about \(X\) (and thus \(Z\)) is therefore slightly wrong. However, this error cancels, because we then use the points in \(Y\) to add a buffer of radius \(Q_Y(p)\). Had we instead used the smaller, but true, \(Q_X(p)\) the risk zone would have gotten a too small, because \(X\) would also have contained more points to form discs around than \(Y\). The method thus implicitly takes \(q\) non-parametrically into account, because its NND is determined based on \(Y\) and subsequently discs of radius \(Q_Y(p)\) are formed around the points of \(Y\).</w:t>
      </w:r>
    </w:p>
    <w:p w14:paraId="2581846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Technical details you might want to skip: The above feature is most easily illustrated if \(X\) is a homogeneous Poisson process with intensity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 In this case we have that the NND distribution function is (p.68, Illian et al. 2008)</w:t>
      </w:r>
    </w:p>
    <w:p w14:paraId="74C064D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D_X(r) = 1 – \</w:t>
      </w:r>
      <w:proofErr w:type="gramStart"/>
      <w:r w:rsidRPr="00C17356">
        <w:rPr>
          <w:rFonts w:ascii="Times New Roman" w:eastAsia="Times New Roman" w:hAnsi="Times New Roman" w:cs="Times New Roman"/>
          <w:sz w:val="20"/>
          <w:szCs w:val="20"/>
          <w:lang w:eastAsia="en-IN"/>
        </w:rPr>
        <w:t>exp(</w:t>
      </w:r>
      <w:proofErr w:type="gramEnd"/>
      <w:r w:rsidRPr="00C17356">
        <w:rPr>
          <w:rFonts w:ascii="Times New Roman" w:eastAsia="Times New Roman" w:hAnsi="Times New Roman" w:cs="Times New Roman"/>
          <w:sz w:val="20"/>
          <w:szCs w:val="20"/>
          <w:lang w:eastAsia="en-IN"/>
        </w:rPr>
        <w:t>-\</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 xml:space="preserve"> \pi r^2), \quad r&gt;0.</w:t>
      </w:r>
      <w:r w:rsidRPr="00C17356">
        <w:rPr>
          <w:rFonts w:ascii="Times New Roman" w:eastAsia="Times New Roman" w:hAnsi="Times New Roman" w:cs="Times New Roman"/>
          <w:sz w:val="20"/>
          <w:szCs w:val="20"/>
          <w:lang w:eastAsia="en-IN"/>
        </w:rPr>
        <w:br/>
        <w:t>\]</w:t>
      </w:r>
    </w:p>
    <w:p w14:paraId="13EA5425"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Also note that \(D_Y(r) = 1 – \</w:t>
      </w:r>
      <w:proofErr w:type="gramStart"/>
      <w:r w:rsidRPr="00C17356">
        <w:rPr>
          <w:rFonts w:ascii="Times New Roman" w:eastAsia="Times New Roman" w:hAnsi="Times New Roman" w:cs="Times New Roman"/>
          <w:sz w:val="20"/>
          <w:szCs w:val="20"/>
          <w:lang w:eastAsia="en-IN"/>
        </w:rPr>
        <w:t>exp(</w:t>
      </w:r>
      <w:proofErr w:type="gramEnd"/>
      <w:r w:rsidRPr="00C17356">
        <w:rPr>
          <w:rFonts w:ascii="Times New Roman" w:eastAsia="Times New Roman" w:hAnsi="Times New Roman" w:cs="Times New Roman"/>
          <w:sz w:val="20"/>
          <w:szCs w:val="20"/>
          <w:lang w:eastAsia="en-IN"/>
        </w:rPr>
        <w:t>-(1-q)\</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 xml:space="preserve"> \pi r^2)\) and therefore \(D_Y(r) &gt; D_X(r)\). Now solving for the \(p\)-quantile of the NND in this homogeneous Poisson case means solving</w:t>
      </w:r>
    </w:p>
    <w:p w14:paraId="1FAACB9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Q_Y(p) = \min</w:t>
      </w:r>
      <w:proofErr w:type="gramStart"/>
      <w:r w:rsidRPr="00C17356">
        <w:rPr>
          <w:rFonts w:ascii="Times New Roman" w:eastAsia="Times New Roman" w:hAnsi="Times New Roman" w:cs="Times New Roman"/>
          <w:sz w:val="20"/>
          <w:szCs w:val="20"/>
          <w:lang w:eastAsia="en-IN"/>
        </w:rPr>
        <w:t>_{</w:t>
      </w:r>
      <w:proofErr w:type="gramEnd"/>
      <w:r w:rsidRPr="00C17356">
        <w:rPr>
          <w:rFonts w:ascii="Times New Roman" w:eastAsia="Times New Roman" w:hAnsi="Times New Roman" w:cs="Times New Roman"/>
          <w:sz w:val="20"/>
          <w:szCs w:val="20"/>
          <w:lang w:eastAsia="en-IN"/>
        </w:rPr>
        <w:t>r\</w:t>
      </w:r>
      <w:proofErr w:type="spellStart"/>
      <w:r w:rsidRPr="00C17356">
        <w:rPr>
          <w:rFonts w:ascii="Times New Roman" w:eastAsia="Times New Roman" w:hAnsi="Times New Roman" w:cs="Times New Roman"/>
          <w:sz w:val="20"/>
          <w:szCs w:val="20"/>
          <w:lang w:eastAsia="en-IN"/>
        </w:rPr>
        <w:t>geq</w:t>
      </w:r>
      <w:proofErr w:type="spellEnd"/>
      <w:r w:rsidRPr="00C17356">
        <w:rPr>
          <w:rFonts w:ascii="Times New Roman" w:eastAsia="Times New Roman" w:hAnsi="Times New Roman" w:cs="Times New Roman"/>
          <w:sz w:val="20"/>
          <w:szCs w:val="20"/>
          <w:lang w:eastAsia="en-IN"/>
        </w:rPr>
        <w:t xml:space="preserve"> 0} \{ D_Y(r) \</w:t>
      </w:r>
      <w:proofErr w:type="spellStart"/>
      <w:r w:rsidRPr="00C17356">
        <w:rPr>
          <w:rFonts w:ascii="Times New Roman" w:eastAsia="Times New Roman" w:hAnsi="Times New Roman" w:cs="Times New Roman"/>
          <w:sz w:val="20"/>
          <w:szCs w:val="20"/>
          <w:lang w:eastAsia="en-IN"/>
        </w:rPr>
        <w:t>geq</w:t>
      </w:r>
      <w:proofErr w:type="spellEnd"/>
      <w:r w:rsidRPr="00C17356">
        <w:rPr>
          <w:rFonts w:ascii="Times New Roman" w:eastAsia="Times New Roman" w:hAnsi="Times New Roman" w:cs="Times New Roman"/>
          <w:sz w:val="20"/>
          <w:szCs w:val="20"/>
          <w:lang w:eastAsia="en-IN"/>
        </w:rPr>
        <w:t xml:space="preserve"> p \} \Leftrightarrow Q_Y(p) =</w:t>
      </w:r>
      <w:r w:rsidRPr="00C17356">
        <w:rPr>
          <w:rFonts w:ascii="Times New Roman" w:eastAsia="Times New Roman" w:hAnsi="Times New Roman" w:cs="Times New Roman"/>
          <w:sz w:val="20"/>
          <w:szCs w:val="20"/>
          <w:lang w:eastAsia="en-IN"/>
        </w:rPr>
        <w:br/>
        <w:t>\sqrt{ \frac{\log(1-p)}{\</w:t>
      </w:r>
      <w:proofErr w:type="spellStart"/>
      <w:r w:rsidRPr="00C17356">
        <w:rPr>
          <w:rFonts w:ascii="Times New Roman" w:eastAsia="Times New Roman" w:hAnsi="Times New Roman" w:cs="Times New Roman"/>
          <w:sz w:val="20"/>
          <w:szCs w:val="20"/>
          <w:lang w:eastAsia="en-IN"/>
        </w:rPr>
        <w:t>lambda_Y</w:t>
      </w:r>
      <w:proofErr w:type="spellEnd"/>
      <w:r w:rsidRPr="00C17356">
        <w:rPr>
          <w:rFonts w:ascii="Times New Roman" w:eastAsia="Times New Roman" w:hAnsi="Times New Roman" w:cs="Times New Roman"/>
          <w:sz w:val="20"/>
          <w:szCs w:val="20"/>
          <w:lang w:eastAsia="en-IN"/>
        </w:rPr>
        <w:t xml:space="preserve"> \pi}}.</w:t>
      </w:r>
      <w:r w:rsidRPr="00C17356">
        <w:rPr>
          <w:rFonts w:ascii="Times New Roman" w:eastAsia="Times New Roman" w:hAnsi="Times New Roman" w:cs="Times New Roman"/>
          <w:sz w:val="20"/>
          <w:szCs w:val="20"/>
          <w:lang w:eastAsia="en-IN"/>
        </w:rPr>
        <w:br/>
        <w:t>\]</w:t>
      </w:r>
    </w:p>
    <w:p w14:paraId="7651F40A"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From this it becomes clear than in the homogeneous Poisson case </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Q_ Y(p)\) is a factor \(\sqrt{1/(1-q)}\) larger than \(Q_X(p)\), which is the actual target of interest.</w:t>
      </w:r>
    </w:p>
    <w:p w14:paraId="410C11B4" w14:textId="77777777" w:rsidR="00C17356" w:rsidRPr="00C17356" w:rsidRDefault="00C17356" w:rsidP="00C173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356">
        <w:rPr>
          <w:rFonts w:ascii="Times New Roman" w:eastAsia="Times New Roman" w:hAnsi="Times New Roman" w:cs="Times New Roman"/>
          <w:b/>
          <w:bCs/>
          <w:sz w:val="27"/>
          <w:szCs w:val="27"/>
          <w:lang w:eastAsia="en-IN"/>
        </w:rPr>
        <w:t>Assessing the coverage of a risk-zone</w:t>
      </w:r>
    </w:p>
    <w:p w14:paraId="070FF9CA"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Two </w:t>
      </w:r>
      <w:proofErr w:type="gramStart"/>
      <w:r w:rsidRPr="00C17356">
        <w:rPr>
          <w:rFonts w:ascii="Times New Roman" w:eastAsia="Times New Roman" w:hAnsi="Times New Roman" w:cs="Times New Roman"/>
          <w:sz w:val="20"/>
          <w:szCs w:val="20"/>
          <w:lang w:eastAsia="en-IN"/>
        </w:rPr>
        <w:t>criterion</w:t>
      </w:r>
      <w:proofErr w:type="gramEnd"/>
      <w:r w:rsidRPr="00C17356">
        <w:rPr>
          <w:rFonts w:ascii="Times New Roman" w:eastAsia="Times New Roman" w:hAnsi="Times New Roman" w:cs="Times New Roman"/>
          <w:sz w:val="20"/>
          <w:szCs w:val="20"/>
          <w:lang w:eastAsia="en-IN"/>
        </w:rPr>
        <w:t xml:space="preserve"> appear immediate in order to assess the coverage of a risk-zone \(R\):</w:t>
      </w:r>
    </w:p>
    <w:p w14:paraId="0AEE743B" w14:textId="77777777" w:rsidR="00C17356" w:rsidRPr="00C17356" w:rsidRDefault="00C17356" w:rsidP="00C17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The probability \(p_{\text{out</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that there will be at least one bomb outside the risk zone, i.e. \(P( N( Z \backslash R) &gt; 0)\), where \(N(A)\) denotes the number of events in the set \(A \</w:t>
      </w:r>
      <w:proofErr w:type="spellStart"/>
      <w:r w:rsidRPr="00C17356">
        <w:rPr>
          <w:rFonts w:ascii="Times New Roman" w:eastAsia="Times New Roman" w:hAnsi="Times New Roman" w:cs="Times New Roman"/>
          <w:sz w:val="20"/>
          <w:szCs w:val="20"/>
          <w:lang w:eastAsia="en-IN"/>
        </w:rPr>
        <w:t>subseteq</w:t>
      </w:r>
      <w:proofErr w:type="spellEnd"/>
      <w:r w:rsidRPr="00C17356">
        <w:rPr>
          <w:rFonts w:ascii="Times New Roman" w:eastAsia="Times New Roman" w:hAnsi="Times New Roman" w:cs="Times New Roman"/>
          <w:sz w:val="20"/>
          <w:szCs w:val="20"/>
          <w:lang w:eastAsia="en-IN"/>
        </w:rPr>
        <w:t xml:space="preserve"> W\). Note: </w:t>
      </w:r>
      <w:r w:rsidRPr="00C17356">
        <w:rPr>
          <w:rFonts w:ascii="Times New Roman" w:eastAsia="Times New Roman" w:hAnsi="Times New Roman" w:cs="Times New Roman"/>
          <w:sz w:val="20"/>
          <w:szCs w:val="20"/>
          <w:lang w:eastAsia="en-IN"/>
        </w:rPr>
        <w:lastRenderedPageBreak/>
        <w:t>this probability is depending heavily on the amount of points in \(Z\), the more points there are, the higher is \(p_{\text{out</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However, it reflects the idea "one miss is all it takes to get in trouble".</w:t>
      </w:r>
    </w:p>
    <w:p w14:paraId="78EDB799" w14:textId="77777777" w:rsidR="00C17356" w:rsidRPr="00C17356" w:rsidRDefault="00C17356" w:rsidP="00C17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proportion of events in \(Z\) not located in \(R\), i.e. </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N( Z \backslash R) / N(Z)\), we shall denote this criterion by \(p_{\text{miss}}\). Note: This probability is taking possible different sizes of \(Z\) into account, but also takes a more relative approach towards how many bombs are not covered by the zone.</w:t>
      </w:r>
    </w:p>
    <w:p w14:paraId="52A96350"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Under the assumption of independence between whether \(Z\)-events are within or outside the risk-zone one can convert back and forth between \(p_{\text{miss</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and \(p_{\text{out}}\) by</w:t>
      </w:r>
    </w:p>
    <w:p w14:paraId="4753E248"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 xml:space="preserve">p_{\text{out}} = </w:t>
      </w:r>
      <w:proofErr w:type="gramStart"/>
      <w:r w:rsidRPr="00C17356">
        <w:rPr>
          <w:rFonts w:ascii="Times New Roman" w:eastAsia="Times New Roman" w:hAnsi="Times New Roman" w:cs="Times New Roman"/>
          <w:sz w:val="20"/>
          <w:szCs w:val="20"/>
          <w:lang w:eastAsia="en-IN"/>
        </w:rPr>
        <w:t>P( N</w:t>
      </w:r>
      <w:proofErr w:type="gramEnd"/>
      <w:r w:rsidRPr="00C17356">
        <w:rPr>
          <w:rFonts w:ascii="Times New Roman" w:eastAsia="Times New Roman" w:hAnsi="Times New Roman" w:cs="Times New Roman"/>
          <w:sz w:val="20"/>
          <w:szCs w:val="20"/>
          <w:lang w:eastAsia="en-IN"/>
        </w:rPr>
        <w:t>( Z \backslash R) &gt; 0) = 1- P(N(Z</w:t>
      </w:r>
      <w:r w:rsidRPr="00C17356">
        <w:rPr>
          <w:rFonts w:ascii="Times New Roman" w:eastAsia="Times New Roman" w:hAnsi="Times New Roman" w:cs="Times New Roman"/>
          <w:sz w:val="20"/>
          <w:szCs w:val="20"/>
          <w:lang w:eastAsia="en-IN"/>
        </w:rPr>
        <w:br/>
        <w:t>\backslash R) = 0) \</w:t>
      </w:r>
      <w:proofErr w:type="spellStart"/>
      <w:r w:rsidRPr="00C17356">
        <w:rPr>
          <w:rFonts w:ascii="Times New Roman" w:eastAsia="Times New Roman" w:hAnsi="Times New Roman" w:cs="Times New Roman"/>
          <w:sz w:val="20"/>
          <w:szCs w:val="20"/>
          <w:lang w:eastAsia="en-IN"/>
        </w:rPr>
        <w:t>approx</w:t>
      </w:r>
      <w:proofErr w:type="spellEnd"/>
      <w:r w:rsidRPr="00C17356">
        <w:rPr>
          <w:rFonts w:ascii="Times New Roman" w:eastAsia="Times New Roman" w:hAnsi="Times New Roman" w:cs="Times New Roman"/>
          <w:sz w:val="20"/>
          <w:szCs w:val="20"/>
          <w:lang w:eastAsia="en-IN"/>
        </w:rPr>
        <w:t xml:space="preserve"> 1 – (1-p_{\text{miss}})^{N(Z)},</w:t>
      </w:r>
      <w:r w:rsidRPr="00C17356">
        <w:rPr>
          <w:rFonts w:ascii="Times New Roman" w:eastAsia="Times New Roman" w:hAnsi="Times New Roman" w:cs="Times New Roman"/>
          <w:sz w:val="20"/>
          <w:szCs w:val="20"/>
          <w:lang w:eastAsia="en-IN"/>
        </w:rPr>
        <w:br/>
        <w:t>\]</w:t>
      </w:r>
    </w:p>
    <w:p w14:paraId="781CC569"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where one in a simulation setup would know \(Z\) and thus also \(N(Z)\). Note that for a \(p\)-quantile NND risk-zone we expect \(1-p_{\text{miss</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xml:space="preserve">) to be approximately equal to \(p\). We can investigate the behaviour of risk-zones according to the </w:t>
      </w:r>
      <w:proofErr w:type="gramStart"/>
      <w:r w:rsidRPr="00C17356">
        <w:rPr>
          <w:rFonts w:ascii="Times New Roman" w:eastAsia="Times New Roman" w:hAnsi="Times New Roman" w:cs="Times New Roman"/>
          <w:sz w:val="20"/>
          <w:szCs w:val="20"/>
          <w:lang w:eastAsia="en-IN"/>
        </w:rPr>
        <w:t>two above</w:t>
      </w:r>
      <w:proofErr w:type="gramEnd"/>
      <w:r w:rsidRPr="00C17356">
        <w:rPr>
          <w:rFonts w:ascii="Times New Roman" w:eastAsia="Times New Roman" w:hAnsi="Times New Roman" w:cs="Times New Roman"/>
          <w:sz w:val="20"/>
          <w:szCs w:val="20"/>
          <w:lang w:eastAsia="en-IN"/>
        </w:rPr>
        <w:t xml:space="preserve"> criterion through the use of simulation. Either by simply \(q\)-thinning of the existing point pattern \(Y\) and then use this thinned pattern to determine a risk-zone, which is then evaluated. An alternative approach is to estimate the intensity surface from \(Y\), upscale it to get the intensity of \(X\), simulate \(X\) as an inhomogeneous Poisson point process with this intensity surface, thin this pattern to get a simulated instance of \(Y\), construct the risk-zone based on this pattern and then evaluate the coverage of the zone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Note that this type of simulation is based on more assumptions compared to the non-parametric thinning simulation approach.</w:t>
      </w:r>
    </w:p>
    <w:p w14:paraId="02CE448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We generate 1,000 realizations of \(Y\) and \(Z\) through \(q\)-thinning of the original </w:t>
      </w:r>
      <w:proofErr w:type="spellStart"/>
      <w:r w:rsidRPr="00C17356">
        <w:rPr>
          <w:rFonts w:ascii="Courier New" w:eastAsia="Times New Roman" w:hAnsi="Courier New" w:cs="Courier New"/>
          <w:sz w:val="20"/>
          <w:szCs w:val="20"/>
          <w:lang w:eastAsia="en-IN"/>
        </w:rPr>
        <w:t>craterA</w:t>
      </w:r>
      <w:proofErr w:type="spellEnd"/>
      <w:r w:rsidRPr="00C17356">
        <w:rPr>
          <w:rFonts w:ascii="Times New Roman" w:eastAsia="Times New Roman" w:hAnsi="Times New Roman" w:cs="Times New Roman"/>
          <w:sz w:val="20"/>
          <w:szCs w:val="20"/>
          <w:lang w:eastAsia="en-IN"/>
        </w:rPr>
        <w:t xml:space="preserve"> pattern while computing the coverage measures for the NND method as follows:</w:t>
      </w:r>
    </w:p>
    <w:p w14:paraId="3E26F05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suppressPackageStartupMessages</w:t>
      </w:r>
      <w:proofErr w:type="spellEnd"/>
      <w:r w:rsidRPr="00C17356">
        <w:rPr>
          <w:rFonts w:ascii="Courier New" w:eastAsia="Times New Roman" w:hAnsi="Courier New" w:cs="Courier New"/>
          <w:sz w:val="20"/>
          <w:szCs w:val="20"/>
          <w:lang w:eastAsia="en-IN"/>
        </w:rPr>
        <w:t>(library(</w:t>
      </w:r>
      <w:proofErr w:type="spellStart"/>
      <w:r w:rsidRPr="00C17356">
        <w:rPr>
          <w:rFonts w:ascii="Courier New" w:eastAsia="Times New Roman" w:hAnsi="Courier New" w:cs="Courier New"/>
          <w:sz w:val="20"/>
          <w:szCs w:val="20"/>
          <w:lang w:eastAsia="en-IN"/>
        </w:rPr>
        <w:t>doParallel</w:t>
      </w:r>
      <w:proofErr w:type="spellEnd"/>
      <w:r w:rsidRPr="00C17356">
        <w:rPr>
          <w:rFonts w:ascii="Courier New" w:eastAsia="Times New Roman" w:hAnsi="Courier New" w:cs="Courier New"/>
          <w:sz w:val="20"/>
          <w:szCs w:val="20"/>
          <w:lang w:eastAsia="en-IN"/>
        </w:rPr>
        <w:t>))</w:t>
      </w:r>
    </w:p>
    <w:p w14:paraId="76DF0D8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registerDoParallel</w:t>
      </w:r>
      <w:proofErr w:type="spellEnd"/>
      <w:r w:rsidRPr="00C17356">
        <w:rPr>
          <w:rFonts w:ascii="Courier New" w:eastAsia="Times New Roman" w:hAnsi="Courier New" w:cs="Courier New"/>
          <w:sz w:val="20"/>
          <w:szCs w:val="20"/>
          <w:lang w:eastAsia="en-IN"/>
        </w:rPr>
        <w:t>(cores=4)</w:t>
      </w:r>
    </w:p>
    <w:p w14:paraId="6616CF4E"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BC67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simulate_method</w:t>
      </w:r>
      <w:proofErr w:type="spellEnd"/>
      <w:r w:rsidRPr="00C17356">
        <w:rPr>
          <w:rFonts w:ascii="Courier New" w:eastAsia="Times New Roman" w:hAnsi="Courier New" w:cs="Courier New"/>
          <w:sz w:val="20"/>
          <w:szCs w:val="20"/>
          <w:lang w:eastAsia="en-IN"/>
        </w:rPr>
        <w:t xml:space="preserve"> &lt;- "thinning" #"intensity" # "</w:t>
      </w:r>
      <w:proofErr w:type="spellStart"/>
      <w:r w:rsidRPr="00C17356">
        <w:rPr>
          <w:rFonts w:ascii="Courier New" w:eastAsia="Times New Roman" w:hAnsi="Courier New" w:cs="Courier New"/>
          <w:sz w:val="20"/>
          <w:szCs w:val="20"/>
          <w:lang w:eastAsia="en-IN"/>
        </w:rPr>
        <w:t>cond_intensity</w:t>
      </w:r>
      <w:proofErr w:type="spellEnd"/>
      <w:r w:rsidRPr="00C17356">
        <w:rPr>
          <w:rFonts w:ascii="Courier New" w:eastAsia="Times New Roman" w:hAnsi="Courier New" w:cs="Courier New"/>
          <w:sz w:val="20"/>
          <w:szCs w:val="20"/>
          <w:lang w:eastAsia="en-IN"/>
        </w:rPr>
        <w:t>"</w:t>
      </w:r>
    </w:p>
    <w:p w14:paraId="0899A8FD"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sim &lt;- foreach(</w:t>
      </w:r>
      <w:proofErr w:type="spellStart"/>
      <w:r w:rsidRPr="00C17356">
        <w:rPr>
          <w:rFonts w:ascii="Courier New" w:eastAsia="Times New Roman" w:hAnsi="Courier New" w:cs="Courier New"/>
          <w:sz w:val="20"/>
          <w:szCs w:val="20"/>
          <w:lang w:eastAsia="en-IN"/>
        </w:rPr>
        <w:t>i</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seq_len</w:t>
      </w:r>
      <w:proofErr w:type="spellEnd"/>
      <w:r w:rsidRPr="00C17356">
        <w:rPr>
          <w:rFonts w:ascii="Courier New" w:eastAsia="Times New Roman" w:hAnsi="Courier New" w:cs="Courier New"/>
          <w:sz w:val="20"/>
          <w:szCs w:val="20"/>
          <w:lang w:eastAsia="en-IN"/>
        </w:rPr>
        <w:t>(</w:t>
      </w:r>
      <w:proofErr w:type="spellStart"/>
      <w:proofErr w:type="gramStart"/>
      <w:r w:rsidRPr="00C17356">
        <w:rPr>
          <w:rFonts w:ascii="Courier New" w:eastAsia="Times New Roman" w:hAnsi="Courier New" w:cs="Courier New"/>
          <w:sz w:val="20"/>
          <w:szCs w:val="20"/>
          <w:lang w:eastAsia="en-IN"/>
        </w:rPr>
        <w:t>getDoParWorkers</w:t>
      </w:r>
      <w:proofErr w:type="spellEnd"/>
      <w:r w:rsidRPr="00C17356">
        <w:rPr>
          <w:rFonts w:ascii="Courier New" w:eastAsia="Times New Roman" w:hAnsi="Courier New" w:cs="Courier New"/>
          <w:sz w:val="20"/>
          <w:szCs w:val="20"/>
          <w:lang w:eastAsia="en-IN"/>
        </w:rPr>
        <w:t>(</w:t>
      </w:r>
      <w:proofErr w:type="gramEnd"/>
      <w:r w:rsidRPr="00C17356">
        <w:rPr>
          <w:rFonts w:ascii="Courier New" w:eastAsia="Times New Roman" w:hAnsi="Courier New" w:cs="Courier New"/>
          <w:sz w:val="20"/>
          <w:szCs w:val="20"/>
          <w:lang w:eastAsia="en-IN"/>
        </w:rPr>
        <w:t>)), .combine=</w:t>
      </w:r>
      <w:proofErr w:type="spellStart"/>
      <w:r w:rsidRPr="00C17356">
        <w:rPr>
          <w:rFonts w:ascii="Courier New" w:eastAsia="Times New Roman" w:hAnsi="Courier New" w:cs="Courier New"/>
          <w:sz w:val="20"/>
          <w:szCs w:val="20"/>
          <w:lang w:eastAsia="en-IN"/>
        </w:rPr>
        <w:t>rbind</w:t>
      </w:r>
      <w:proofErr w:type="spellEnd"/>
      <w:r w:rsidRPr="00C17356">
        <w:rPr>
          <w:rFonts w:ascii="Courier New" w:eastAsia="Times New Roman" w:hAnsi="Courier New" w:cs="Courier New"/>
          <w:sz w:val="20"/>
          <w:szCs w:val="20"/>
          <w:lang w:eastAsia="en-IN"/>
        </w:rPr>
        <w:t>) %</w:t>
      </w:r>
      <w:proofErr w:type="spellStart"/>
      <w:r w:rsidRPr="00C17356">
        <w:rPr>
          <w:rFonts w:ascii="Courier New" w:eastAsia="Times New Roman" w:hAnsi="Courier New" w:cs="Courier New"/>
          <w:sz w:val="20"/>
          <w:szCs w:val="20"/>
          <w:lang w:eastAsia="en-IN"/>
        </w:rPr>
        <w:t>dopar</w:t>
      </w:r>
      <w:proofErr w:type="spellEnd"/>
      <w:r w:rsidRPr="00C17356">
        <w:rPr>
          <w:rFonts w:ascii="Courier New" w:eastAsia="Times New Roman" w:hAnsi="Courier New" w:cs="Courier New"/>
          <w:sz w:val="20"/>
          <w:szCs w:val="20"/>
          <w:lang w:eastAsia="en-IN"/>
        </w:rPr>
        <w:t>% {</w:t>
      </w:r>
    </w:p>
    <w:p w14:paraId="09F498A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proofErr w:type="gramStart"/>
      <w:r w:rsidRPr="00C17356">
        <w:rPr>
          <w:rFonts w:ascii="Courier New" w:eastAsia="Times New Roman" w:hAnsi="Courier New" w:cs="Courier New"/>
          <w:sz w:val="20"/>
          <w:szCs w:val="20"/>
          <w:lang w:eastAsia="en-IN"/>
        </w:rPr>
        <w:t>tryCatch</w:t>
      </w:r>
      <w:proofErr w:type="spellEnd"/>
      <w:r w:rsidRPr="00C17356">
        <w:rPr>
          <w:rFonts w:ascii="Courier New" w:eastAsia="Times New Roman" w:hAnsi="Courier New" w:cs="Courier New"/>
          <w:sz w:val="20"/>
          <w:szCs w:val="20"/>
          <w:lang w:eastAsia="en-IN"/>
        </w:rPr>
        <w:t>(</w:t>
      </w:r>
      <w:proofErr w:type="gramEnd"/>
    </w:p>
    <w:p w14:paraId="0790EEA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eval_</w:t>
      </w:r>
      <w:proofErr w:type="gramStart"/>
      <w:r w:rsidRPr="00C17356">
        <w:rPr>
          <w:rFonts w:ascii="Courier New" w:eastAsia="Times New Roman" w:hAnsi="Courier New" w:cs="Courier New"/>
          <w:sz w:val="20"/>
          <w:szCs w:val="20"/>
          <w:lang w:eastAsia="en-IN"/>
        </w:rPr>
        <w:t>method</w:t>
      </w:r>
      <w:proofErr w:type="spellEnd"/>
      <w:r w:rsidRPr="00C17356">
        <w:rPr>
          <w:rFonts w:ascii="Courier New" w:eastAsia="Times New Roman" w:hAnsi="Courier New" w:cs="Courier New"/>
          <w:sz w:val="20"/>
          <w:szCs w:val="20"/>
          <w:lang w:eastAsia="en-IN"/>
        </w:rPr>
        <w:t>(</w:t>
      </w:r>
      <w:proofErr w:type="spellStart"/>
      <w:proofErr w:type="gramEnd"/>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type=c("</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criterion=c("indirect"),</w:t>
      </w:r>
    </w:p>
    <w:p w14:paraId="5E1F2D3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 xml:space="preserve">=0.99, </w:t>
      </w:r>
      <w:proofErr w:type="spellStart"/>
      <w:r w:rsidRPr="00C17356">
        <w:rPr>
          <w:rFonts w:ascii="Courier New" w:eastAsia="Times New Roman" w:hAnsi="Courier New" w:cs="Courier New"/>
          <w:sz w:val="20"/>
          <w:szCs w:val="20"/>
          <w:lang w:eastAsia="en-IN"/>
        </w:rPr>
        <w:t>numit</w:t>
      </w:r>
      <w:proofErr w:type="spellEnd"/>
      <w:r w:rsidRPr="00C17356">
        <w:rPr>
          <w:rFonts w:ascii="Courier New" w:eastAsia="Times New Roman" w:hAnsi="Courier New" w:cs="Courier New"/>
          <w:sz w:val="20"/>
          <w:szCs w:val="20"/>
          <w:lang w:eastAsia="en-IN"/>
        </w:rPr>
        <w:t xml:space="preserve"> = 250, simulate=</w:t>
      </w:r>
      <w:proofErr w:type="spellStart"/>
      <w:r w:rsidRPr="00C17356">
        <w:rPr>
          <w:rFonts w:ascii="Courier New" w:eastAsia="Times New Roman" w:hAnsi="Courier New" w:cs="Courier New"/>
          <w:sz w:val="20"/>
          <w:szCs w:val="20"/>
          <w:lang w:eastAsia="en-IN"/>
        </w:rPr>
        <w:t>simulate_method</w:t>
      </w:r>
      <w:proofErr w:type="spellEnd"/>
      <w:r w:rsidRPr="00C17356">
        <w:rPr>
          <w:rFonts w:ascii="Courier New" w:eastAsia="Times New Roman" w:hAnsi="Courier New" w:cs="Courier New"/>
          <w:sz w:val="20"/>
          <w:szCs w:val="20"/>
          <w:lang w:eastAsia="en-IN"/>
        </w:rPr>
        <w:t>,</w:t>
      </w:r>
    </w:p>
    <w:p w14:paraId="6D158C1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pbar=FALSE),</w:t>
      </w:r>
    </w:p>
    <w:p w14:paraId="6EAB24C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error= function(e) </w:t>
      </w:r>
      <w:proofErr w:type="gramStart"/>
      <w:r w:rsidRPr="00C17356">
        <w:rPr>
          <w:rFonts w:ascii="Courier New" w:eastAsia="Times New Roman" w:hAnsi="Courier New" w:cs="Courier New"/>
          <w:sz w:val="20"/>
          <w:szCs w:val="20"/>
          <w:lang w:eastAsia="en-IN"/>
        </w:rPr>
        <w:t>return(</w:t>
      </w:r>
      <w:proofErr w:type="gramEnd"/>
      <w:r w:rsidRPr="00C17356">
        <w:rPr>
          <w:rFonts w:ascii="Courier New" w:eastAsia="Times New Roman" w:hAnsi="Courier New" w:cs="Courier New"/>
          <w:sz w:val="20"/>
          <w:szCs w:val="20"/>
          <w:lang w:eastAsia="en-IN"/>
        </w:rPr>
        <w:t>NULL))</w:t>
      </w:r>
    </w:p>
    <w:p w14:paraId="36AF57A3"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w:t>
      </w:r>
    </w:p>
    <w:p w14:paraId="7FC1E49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 A </w:t>
      </w:r>
      <w:proofErr w:type="spellStart"/>
      <w:r w:rsidRPr="00C17356">
        <w:rPr>
          <w:rFonts w:ascii="Courier New" w:eastAsia="Times New Roman" w:hAnsi="Courier New" w:cs="Courier New"/>
          <w:sz w:val="20"/>
          <w:szCs w:val="20"/>
          <w:lang w:eastAsia="en-IN"/>
        </w:rPr>
        <w:t>tibble</w:t>
      </w:r>
      <w:proofErr w:type="spellEnd"/>
      <w:r w:rsidRPr="00C17356">
        <w:rPr>
          <w:rFonts w:ascii="Courier New" w:eastAsia="Times New Roman" w:hAnsi="Courier New" w:cs="Courier New"/>
          <w:sz w:val="20"/>
          <w:szCs w:val="20"/>
          <w:lang w:eastAsia="en-IN"/>
        </w:rPr>
        <w:t>: 1 x 5</w:t>
      </w:r>
    </w:p>
    <w:p w14:paraId="4C6BC05C"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p_</w:t>
      </w:r>
      <w:proofErr w:type="gramStart"/>
      <w:r w:rsidRPr="00C17356">
        <w:rPr>
          <w:rFonts w:ascii="Courier New" w:eastAsia="Times New Roman" w:hAnsi="Courier New" w:cs="Courier New"/>
          <w:sz w:val="20"/>
          <w:szCs w:val="20"/>
          <w:lang w:eastAsia="en-IN"/>
        </w:rPr>
        <w:t>out</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w:t>
      </w:r>
      <w:proofErr w:type="gramEnd"/>
      <w:r w:rsidRPr="00C17356">
        <w:rPr>
          <w:rFonts w:ascii="Courier New" w:eastAsia="Times New Roman" w:hAnsi="Courier New" w:cs="Courier New"/>
          <w:sz w:val="20"/>
          <w:szCs w:val="20"/>
          <w:lang w:eastAsia="en-IN"/>
        </w:rPr>
        <w:t>_miss</w:t>
      </w:r>
      <w:proofErr w:type="spellEnd"/>
      <w:r w:rsidRPr="00C17356">
        <w:rPr>
          <w:rFonts w:ascii="Courier New" w:eastAsia="Times New Roman" w:hAnsi="Courier New" w:cs="Courier New"/>
          <w:sz w:val="20"/>
          <w:szCs w:val="20"/>
          <w:lang w:eastAsia="en-IN"/>
        </w:rPr>
        <w:t xml:space="preserve"> `1-p_miss` </w:t>
      </w:r>
      <w:proofErr w:type="spellStart"/>
      <w:r w:rsidRPr="00C17356">
        <w:rPr>
          <w:rFonts w:ascii="Courier New" w:eastAsia="Times New Roman" w:hAnsi="Courier New" w:cs="Courier New"/>
          <w:sz w:val="20"/>
          <w:szCs w:val="20"/>
          <w:lang w:eastAsia="en-IN"/>
        </w:rPr>
        <w:t>p_out_derived</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nZ</w:t>
      </w:r>
      <w:proofErr w:type="spellEnd"/>
    </w:p>
    <w:p w14:paraId="5CBF702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373E3CC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1 0.051 0.00118      0.999        </w:t>
      </w:r>
      <w:proofErr w:type="gramStart"/>
      <w:r w:rsidRPr="00C17356">
        <w:rPr>
          <w:rFonts w:ascii="Courier New" w:eastAsia="Times New Roman" w:hAnsi="Courier New" w:cs="Courier New"/>
          <w:sz w:val="20"/>
          <w:szCs w:val="20"/>
          <w:lang w:eastAsia="en-IN"/>
        </w:rPr>
        <w:t>0.0509  44.3</w:t>
      </w:r>
      <w:proofErr w:type="gramEnd"/>
    </w:p>
    <w:p w14:paraId="69AE18A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numbers state the average </w:t>
      </w:r>
      <w:proofErr w:type="spellStart"/>
      <w:r w:rsidRPr="00C17356">
        <w:rPr>
          <w:rFonts w:ascii="Courier New" w:eastAsia="Times New Roman" w:hAnsi="Courier New" w:cs="Courier New"/>
          <w:sz w:val="20"/>
          <w:szCs w:val="20"/>
          <w:lang w:eastAsia="en-IN"/>
        </w:rPr>
        <w:t>p_out</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Courier New" w:eastAsia="Times New Roman" w:hAnsi="Courier New" w:cs="Courier New"/>
          <w:sz w:val="20"/>
          <w:szCs w:val="20"/>
          <w:lang w:eastAsia="en-IN"/>
        </w:rPr>
        <w:t>p_miss</w:t>
      </w:r>
      <w:r w:rsidRPr="00C17356">
        <w:rPr>
          <w:rFonts w:ascii="Times New Roman" w:eastAsia="Times New Roman" w:hAnsi="Times New Roman" w:cs="Times New Roman"/>
          <w:sz w:val="20"/>
          <w:szCs w:val="20"/>
          <w:lang w:eastAsia="en-IN"/>
        </w:rPr>
        <w:t>in</w:t>
      </w:r>
      <w:proofErr w:type="spellEnd"/>
      <w:r w:rsidRPr="00C17356">
        <w:rPr>
          <w:rFonts w:ascii="Times New Roman" w:eastAsia="Times New Roman" w:hAnsi="Times New Roman" w:cs="Times New Roman"/>
          <w:sz w:val="20"/>
          <w:szCs w:val="20"/>
          <w:lang w:eastAsia="en-IN"/>
        </w:rPr>
        <w:t xml:space="preserve"> the 1000 simulations. Furthermore, </w:t>
      </w:r>
      <w:proofErr w:type="spellStart"/>
      <w:r w:rsidRPr="00C17356">
        <w:rPr>
          <w:rFonts w:ascii="Courier New" w:eastAsia="Times New Roman" w:hAnsi="Courier New" w:cs="Courier New"/>
          <w:sz w:val="20"/>
          <w:szCs w:val="20"/>
          <w:lang w:eastAsia="en-IN"/>
        </w:rPr>
        <w:t>nZ</w:t>
      </w:r>
      <w:proofErr w:type="spellEnd"/>
      <w:r w:rsidRPr="00C17356">
        <w:rPr>
          <w:rFonts w:ascii="Times New Roman" w:eastAsia="Times New Roman" w:hAnsi="Times New Roman" w:cs="Times New Roman"/>
          <w:sz w:val="20"/>
          <w:szCs w:val="20"/>
          <w:lang w:eastAsia="en-IN"/>
        </w:rPr>
        <w:t xml:space="preserve"> denotes the average number of events in \(Z\). We see that the NND method performs even a little better than intended, because \(1-p_{\text{miss</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is even higher than the intended \(p\)=99%. The probability that the risk-zone misses at least one bomb lies as low as 0.051. This is quite close to the above described approximate conversion from \(p_{\text{miss</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(0.051 vs. 0.051). Changing the simulation method for \(X\) to that of an inhomogeneous Poisson process with intensity \(1/(1-q) \</w:t>
      </w:r>
      <w:proofErr w:type="spellStart"/>
      <w:r w:rsidRPr="00C17356">
        <w:rPr>
          <w:rFonts w:ascii="Times New Roman" w:eastAsia="Times New Roman" w:hAnsi="Times New Roman" w:cs="Times New Roman"/>
          <w:sz w:val="20"/>
          <w:szCs w:val="20"/>
          <w:lang w:eastAsia="en-IN"/>
        </w:rPr>
        <w:t>cdot</w:t>
      </w:r>
      <w:proofErr w:type="spellEnd"/>
      <w:r w:rsidRPr="00C17356">
        <w:rPr>
          <w:rFonts w:ascii="Times New Roman" w:eastAsia="Times New Roman" w:hAnsi="Times New Roman" w:cs="Times New Roman"/>
          <w:sz w:val="20"/>
          <w:szCs w:val="20"/>
          <w:lang w:eastAsia="en-IN"/>
        </w:rPr>
        <w:t xml:space="preserve"> \hat{\</w:t>
      </w:r>
      <w:proofErr w:type="gramStart"/>
      <w:r w:rsidRPr="00C17356">
        <w:rPr>
          <w:rFonts w:ascii="Times New Roman" w:eastAsia="Times New Roman" w:hAnsi="Times New Roman" w:cs="Times New Roman"/>
          <w:sz w:val="20"/>
          <w:szCs w:val="20"/>
          <w:lang w:eastAsia="en-IN"/>
        </w:rPr>
        <w:t>lambda}_</w:t>
      </w:r>
      <w:proofErr w:type="gramEnd"/>
      <w:r w:rsidRPr="00C17356">
        <w:rPr>
          <w:rFonts w:ascii="Times New Roman" w:eastAsia="Times New Roman" w:hAnsi="Times New Roman" w:cs="Times New Roman"/>
          <w:sz w:val="20"/>
          <w:szCs w:val="20"/>
          <w:lang w:eastAsia="en-IN"/>
        </w:rPr>
        <w:t>Y(\bm{s})\) yields similar results:</w:t>
      </w:r>
    </w:p>
    <w:p w14:paraId="56F566C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 A </w:t>
      </w:r>
      <w:proofErr w:type="spellStart"/>
      <w:r w:rsidRPr="00C17356">
        <w:rPr>
          <w:rFonts w:ascii="Courier New" w:eastAsia="Times New Roman" w:hAnsi="Courier New" w:cs="Courier New"/>
          <w:sz w:val="20"/>
          <w:szCs w:val="20"/>
          <w:lang w:eastAsia="en-IN"/>
        </w:rPr>
        <w:t>tibble</w:t>
      </w:r>
      <w:proofErr w:type="spellEnd"/>
      <w:r w:rsidRPr="00C17356">
        <w:rPr>
          <w:rFonts w:ascii="Courier New" w:eastAsia="Times New Roman" w:hAnsi="Courier New" w:cs="Courier New"/>
          <w:sz w:val="20"/>
          <w:szCs w:val="20"/>
          <w:lang w:eastAsia="en-IN"/>
        </w:rPr>
        <w:t>: 1 x 5</w:t>
      </w:r>
    </w:p>
    <w:p w14:paraId="1F7500DE"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p_out</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p_miss</w:t>
      </w:r>
      <w:proofErr w:type="spellEnd"/>
      <w:r w:rsidRPr="00C17356">
        <w:rPr>
          <w:rFonts w:ascii="Courier New" w:eastAsia="Times New Roman" w:hAnsi="Courier New" w:cs="Courier New"/>
          <w:sz w:val="20"/>
          <w:szCs w:val="20"/>
          <w:lang w:eastAsia="en-IN"/>
        </w:rPr>
        <w:t xml:space="preserve"> `1-p_miss` </w:t>
      </w:r>
      <w:proofErr w:type="spellStart"/>
      <w:r w:rsidRPr="00C17356">
        <w:rPr>
          <w:rFonts w:ascii="Courier New" w:eastAsia="Times New Roman" w:hAnsi="Courier New" w:cs="Courier New"/>
          <w:sz w:val="20"/>
          <w:szCs w:val="20"/>
          <w:lang w:eastAsia="en-IN"/>
        </w:rPr>
        <w:t>p_out_derived</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nZ</w:t>
      </w:r>
      <w:proofErr w:type="spellEnd"/>
    </w:p>
    <w:p w14:paraId="66AF01F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62EA445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gramStart"/>
      <w:r w:rsidRPr="00C17356">
        <w:rPr>
          <w:rFonts w:ascii="Courier New" w:eastAsia="Times New Roman" w:hAnsi="Courier New" w:cs="Courier New"/>
          <w:sz w:val="20"/>
          <w:szCs w:val="20"/>
          <w:lang w:eastAsia="en-IN"/>
        </w:rPr>
        <w:t>1  0.47</w:t>
      </w:r>
      <w:proofErr w:type="gramEnd"/>
      <w:r w:rsidRPr="00C17356">
        <w:rPr>
          <w:rFonts w:ascii="Courier New" w:eastAsia="Times New Roman" w:hAnsi="Courier New" w:cs="Courier New"/>
          <w:sz w:val="20"/>
          <w:szCs w:val="20"/>
          <w:lang w:eastAsia="en-IN"/>
        </w:rPr>
        <w:t xml:space="preserve"> 0.0143      0.986         0.511  49.6</w:t>
      </w:r>
    </w:p>
    <w:p w14:paraId="504D2DAD"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We note that the probability of missing at least one bomb is much higher under this parametric simulation method. Only a small fraction of this is explained by \(Z\) now consisting of more points. A likely explanation is </w:t>
      </w:r>
      <w:r w:rsidRPr="00C17356">
        <w:rPr>
          <w:rFonts w:ascii="Times New Roman" w:eastAsia="Times New Roman" w:hAnsi="Times New Roman" w:cs="Times New Roman"/>
          <w:sz w:val="20"/>
          <w:szCs w:val="20"/>
          <w:lang w:eastAsia="en-IN"/>
        </w:rPr>
        <w:lastRenderedPageBreak/>
        <w:t>that the parametric model is only semi-adequate to describe how the point patterns form. Therefore, the new \(X\) might have a somewhat different neighbourhood distribution than anticipated.</w:t>
      </w:r>
    </w:p>
    <w:p w14:paraId="3BDE1ECA"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To compare more specifically with the intensity </w:t>
      </w:r>
      <w:proofErr w:type="gramStart"/>
      <w:r w:rsidRPr="00C17356">
        <w:rPr>
          <w:rFonts w:ascii="Times New Roman" w:eastAsia="Times New Roman" w:hAnsi="Times New Roman" w:cs="Times New Roman"/>
          <w:sz w:val="20"/>
          <w:szCs w:val="20"/>
          <w:lang w:eastAsia="en-IN"/>
        </w:rPr>
        <w:t>function based</w:t>
      </w:r>
      <w:proofErr w:type="gramEnd"/>
      <w:r w:rsidRPr="00C17356">
        <w:rPr>
          <w:rFonts w:ascii="Times New Roman" w:eastAsia="Times New Roman" w:hAnsi="Times New Roman" w:cs="Times New Roman"/>
          <w:sz w:val="20"/>
          <w:szCs w:val="20"/>
          <w:lang w:eastAsia="en-IN"/>
        </w:rPr>
        <w:t xml:space="preserve"> risk-zone method of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we use a specification, where the risk-zone derived by the NND method or the intensity method have the same area (250 hectare).</w:t>
      </w:r>
    </w:p>
    <w:p w14:paraId="534FF62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sim_area</w:t>
      </w:r>
      <w:proofErr w:type="spellEnd"/>
      <w:r w:rsidRPr="00C17356">
        <w:rPr>
          <w:rFonts w:ascii="Courier New" w:eastAsia="Times New Roman" w:hAnsi="Courier New" w:cs="Courier New"/>
          <w:sz w:val="20"/>
          <w:szCs w:val="20"/>
          <w:lang w:eastAsia="en-IN"/>
        </w:rPr>
        <w:t xml:space="preserve"> &lt;- foreach(</w:t>
      </w:r>
      <w:proofErr w:type="spellStart"/>
      <w:r w:rsidRPr="00C17356">
        <w:rPr>
          <w:rFonts w:ascii="Courier New" w:eastAsia="Times New Roman" w:hAnsi="Courier New" w:cs="Courier New"/>
          <w:sz w:val="20"/>
          <w:szCs w:val="20"/>
          <w:lang w:eastAsia="en-IN"/>
        </w:rPr>
        <w:t>i</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seq_len</w:t>
      </w:r>
      <w:proofErr w:type="spellEnd"/>
      <w:r w:rsidRPr="00C17356">
        <w:rPr>
          <w:rFonts w:ascii="Courier New" w:eastAsia="Times New Roman" w:hAnsi="Courier New" w:cs="Courier New"/>
          <w:sz w:val="20"/>
          <w:szCs w:val="20"/>
          <w:lang w:eastAsia="en-IN"/>
        </w:rPr>
        <w:t>(</w:t>
      </w:r>
      <w:proofErr w:type="spellStart"/>
      <w:proofErr w:type="gramStart"/>
      <w:r w:rsidRPr="00C17356">
        <w:rPr>
          <w:rFonts w:ascii="Courier New" w:eastAsia="Times New Roman" w:hAnsi="Courier New" w:cs="Courier New"/>
          <w:sz w:val="20"/>
          <w:szCs w:val="20"/>
          <w:lang w:eastAsia="en-IN"/>
        </w:rPr>
        <w:t>getDoParWorkers</w:t>
      </w:r>
      <w:proofErr w:type="spellEnd"/>
      <w:r w:rsidRPr="00C17356">
        <w:rPr>
          <w:rFonts w:ascii="Courier New" w:eastAsia="Times New Roman" w:hAnsi="Courier New" w:cs="Courier New"/>
          <w:sz w:val="20"/>
          <w:szCs w:val="20"/>
          <w:lang w:eastAsia="en-IN"/>
        </w:rPr>
        <w:t>(</w:t>
      </w:r>
      <w:proofErr w:type="gramEnd"/>
      <w:r w:rsidRPr="00C17356">
        <w:rPr>
          <w:rFonts w:ascii="Courier New" w:eastAsia="Times New Roman" w:hAnsi="Courier New" w:cs="Courier New"/>
          <w:sz w:val="20"/>
          <w:szCs w:val="20"/>
          <w:lang w:eastAsia="en-IN"/>
        </w:rPr>
        <w:t>)), .combine=</w:t>
      </w:r>
      <w:proofErr w:type="spellStart"/>
      <w:r w:rsidRPr="00C17356">
        <w:rPr>
          <w:rFonts w:ascii="Courier New" w:eastAsia="Times New Roman" w:hAnsi="Courier New" w:cs="Courier New"/>
          <w:sz w:val="20"/>
          <w:szCs w:val="20"/>
          <w:lang w:eastAsia="en-IN"/>
        </w:rPr>
        <w:t>rbind</w:t>
      </w:r>
      <w:proofErr w:type="spellEnd"/>
      <w:r w:rsidRPr="00C17356">
        <w:rPr>
          <w:rFonts w:ascii="Courier New" w:eastAsia="Times New Roman" w:hAnsi="Courier New" w:cs="Courier New"/>
          <w:sz w:val="20"/>
          <w:szCs w:val="20"/>
          <w:lang w:eastAsia="en-IN"/>
        </w:rPr>
        <w:t>) %</w:t>
      </w:r>
      <w:proofErr w:type="spellStart"/>
      <w:r w:rsidRPr="00C17356">
        <w:rPr>
          <w:rFonts w:ascii="Courier New" w:eastAsia="Times New Roman" w:hAnsi="Courier New" w:cs="Courier New"/>
          <w:sz w:val="20"/>
          <w:szCs w:val="20"/>
          <w:lang w:eastAsia="en-IN"/>
        </w:rPr>
        <w:t>dopar</w:t>
      </w:r>
      <w:proofErr w:type="spellEnd"/>
      <w:r w:rsidRPr="00C17356">
        <w:rPr>
          <w:rFonts w:ascii="Courier New" w:eastAsia="Times New Roman" w:hAnsi="Courier New" w:cs="Courier New"/>
          <w:sz w:val="20"/>
          <w:szCs w:val="20"/>
          <w:lang w:eastAsia="en-IN"/>
        </w:rPr>
        <w:t>% {</w:t>
      </w:r>
    </w:p>
    <w:p w14:paraId="3DA3676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proofErr w:type="gramStart"/>
      <w:r w:rsidRPr="00C17356">
        <w:rPr>
          <w:rFonts w:ascii="Courier New" w:eastAsia="Times New Roman" w:hAnsi="Courier New" w:cs="Courier New"/>
          <w:sz w:val="20"/>
          <w:szCs w:val="20"/>
          <w:lang w:eastAsia="en-IN"/>
        </w:rPr>
        <w:t>tryCatch</w:t>
      </w:r>
      <w:proofErr w:type="spellEnd"/>
      <w:r w:rsidRPr="00C17356">
        <w:rPr>
          <w:rFonts w:ascii="Courier New" w:eastAsia="Times New Roman" w:hAnsi="Courier New" w:cs="Courier New"/>
          <w:sz w:val="20"/>
          <w:szCs w:val="20"/>
          <w:lang w:eastAsia="en-IN"/>
        </w:rPr>
        <w:t>(</w:t>
      </w:r>
      <w:proofErr w:type="gramEnd"/>
    </w:p>
    <w:p w14:paraId="40C1979B"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eval_</w:t>
      </w:r>
      <w:proofErr w:type="gramStart"/>
      <w:r w:rsidRPr="00C17356">
        <w:rPr>
          <w:rFonts w:ascii="Courier New" w:eastAsia="Times New Roman" w:hAnsi="Courier New" w:cs="Courier New"/>
          <w:sz w:val="20"/>
          <w:szCs w:val="20"/>
          <w:lang w:eastAsia="en-IN"/>
        </w:rPr>
        <w:t>method</w:t>
      </w:r>
      <w:proofErr w:type="spellEnd"/>
      <w:r w:rsidRPr="00C17356">
        <w:rPr>
          <w:rFonts w:ascii="Courier New" w:eastAsia="Times New Roman" w:hAnsi="Courier New" w:cs="Courier New"/>
          <w:sz w:val="20"/>
          <w:szCs w:val="20"/>
          <w:lang w:eastAsia="en-IN"/>
        </w:rPr>
        <w:t>(</w:t>
      </w:r>
      <w:proofErr w:type="spellStart"/>
      <w:proofErr w:type="gramEnd"/>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type=c("</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intens</w:t>
      </w:r>
      <w:proofErr w:type="spellEnd"/>
      <w:r w:rsidRPr="00C17356">
        <w:rPr>
          <w:rFonts w:ascii="Courier New" w:eastAsia="Times New Roman" w:hAnsi="Courier New" w:cs="Courier New"/>
          <w:sz w:val="20"/>
          <w:szCs w:val="20"/>
          <w:lang w:eastAsia="en-IN"/>
        </w:rPr>
        <w:t>"), criterion=rep("area",2),</w:t>
      </w:r>
    </w:p>
    <w:p w14:paraId="5DE1E4F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w:t>
      </w:r>
      <w:proofErr w:type="gramStart"/>
      <w:r w:rsidRPr="00C17356">
        <w:rPr>
          <w:rFonts w:ascii="Courier New" w:eastAsia="Times New Roman" w:hAnsi="Courier New" w:cs="Courier New"/>
          <w:sz w:val="20"/>
          <w:szCs w:val="20"/>
          <w:lang w:eastAsia="en-IN"/>
        </w:rPr>
        <w:t>rep(</w:t>
      </w:r>
      <w:proofErr w:type="gramEnd"/>
      <w:r w:rsidRPr="00C17356">
        <w:rPr>
          <w:rFonts w:ascii="Courier New" w:eastAsia="Times New Roman" w:hAnsi="Courier New" w:cs="Courier New"/>
          <w:sz w:val="20"/>
          <w:szCs w:val="20"/>
          <w:lang w:eastAsia="en-IN"/>
        </w:rPr>
        <w:t xml:space="preserve">2500000,2), </w:t>
      </w:r>
      <w:proofErr w:type="spellStart"/>
      <w:r w:rsidRPr="00C17356">
        <w:rPr>
          <w:rFonts w:ascii="Courier New" w:eastAsia="Times New Roman" w:hAnsi="Courier New" w:cs="Courier New"/>
          <w:sz w:val="20"/>
          <w:szCs w:val="20"/>
          <w:lang w:eastAsia="en-IN"/>
        </w:rPr>
        <w:t>numit</w:t>
      </w:r>
      <w:proofErr w:type="spellEnd"/>
      <w:r w:rsidRPr="00C17356">
        <w:rPr>
          <w:rFonts w:ascii="Courier New" w:eastAsia="Times New Roman" w:hAnsi="Courier New" w:cs="Courier New"/>
          <w:sz w:val="20"/>
          <w:szCs w:val="20"/>
          <w:lang w:eastAsia="en-IN"/>
        </w:rPr>
        <w:t xml:space="preserve"> = 100,</w:t>
      </w:r>
    </w:p>
    <w:p w14:paraId="3E19681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simulate=</w:t>
      </w:r>
      <w:proofErr w:type="spellStart"/>
      <w:r w:rsidRPr="00C17356">
        <w:rPr>
          <w:rFonts w:ascii="Courier New" w:eastAsia="Times New Roman" w:hAnsi="Courier New" w:cs="Courier New"/>
          <w:sz w:val="20"/>
          <w:szCs w:val="20"/>
          <w:lang w:eastAsia="en-IN"/>
        </w:rPr>
        <w:t>simulate_method</w:t>
      </w:r>
      <w:proofErr w:type="spellEnd"/>
      <w:r w:rsidRPr="00C17356">
        <w:rPr>
          <w:rFonts w:ascii="Courier New" w:eastAsia="Times New Roman" w:hAnsi="Courier New" w:cs="Courier New"/>
          <w:sz w:val="20"/>
          <w:szCs w:val="20"/>
          <w:lang w:eastAsia="en-IN"/>
        </w:rPr>
        <w:t>, pbar=FALSE),</w:t>
      </w:r>
    </w:p>
    <w:p w14:paraId="6FBA1E9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error= function(e) </w:t>
      </w:r>
      <w:proofErr w:type="gramStart"/>
      <w:r w:rsidRPr="00C17356">
        <w:rPr>
          <w:rFonts w:ascii="Courier New" w:eastAsia="Times New Roman" w:hAnsi="Courier New" w:cs="Courier New"/>
          <w:sz w:val="20"/>
          <w:szCs w:val="20"/>
          <w:lang w:eastAsia="en-IN"/>
        </w:rPr>
        <w:t>return(</w:t>
      </w:r>
      <w:proofErr w:type="gramEnd"/>
      <w:r w:rsidRPr="00C17356">
        <w:rPr>
          <w:rFonts w:ascii="Courier New" w:eastAsia="Times New Roman" w:hAnsi="Courier New" w:cs="Courier New"/>
          <w:sz w:val="20"/>
          <w:szCs w:val="20"/>
          <w:lang w:eastAsia="en-IN"/>
        </w:rPr>
        <w:t>NULL))</w:t>
      </w:r>
    </w:p>
    <w:p w14:paraId="5233FBC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w:t>
      </w:r>
    </w:p>
    <w:p w14:paraId="2F4E6C8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 A </w:t>
      </w:r>
      <w:proofErr w:type="spellStart"/>
      <w:r w:rsidRPr="00C17356">
        <w:rPr>
          <w:rFonts w:ascii="Courier New" w:eastAsia="Times New Roman" w:hAnsi="Courier New" w:cs="Courier New"/>
          <w:sz w:val="20"/>
          <w:szCs w:val="20"/>
          <w:lang w:eastAsia="en-IN"/>
        </w:rPr>
        <w:t>tibble</w:t>
      </w:r>
      <w:proofErr w:type="spellEnd"/>
      <w:r w:rsidRPr="00C17356">
        <w:rPr>
          <w:rFonts w:ascii="Courier New" w:eastAsia="Times New Roman" w:hAnsi="Courier New" w:cs="Courier New"/>
          <w:sz w:val="20"/>
          <w:szCs w:val="20"/>
          <w:lang w:eastAsia="en-IN"/>
        </w:rPr>
        <w:t>: 2 x 6</w:t>
      </w:r>
    </w:p>
    <w:p w14:paraId="6EA6B7E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Type   </w:t>
      </w:r>
      <w:proofErr w:type="spellStart"/>
      <w:r w:rsidRPr="00C17356">
        <w:rPr>
          <w:rFonts w:ascii="Courier New" w:eastAsia="Times New Roman" w:hAnsi="Courier New" w:cs="Courier New"/>
          <w:sz w:val="20"/>
          <w:szCs w:val="20"/>
          <w:lang w:eastAsia="en-IN"/>
        </w:rPr>
        <w:t>p_</w:t>
      </w:r>
      <w:proofErr w:type="gramStart"/>
      <w:r w:rsidRPr="00C17356">
        <w:rPr>
          <w:rFonts w:ascii="Courier New" w:eastAsia="Times New Roman" w:hAnsi="Courier New" w:cs="Courier New"/>
          <w:sz w:val="20"/>
          <w:szCs w:val="20"/>
          <w:lang w:eastAsia="en-IN"/>
        </w:rPr>
        <w:t>out</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w:t>
      </w:r>
      <w:proofErr w:type="gramEnd"/>
      <w:r w:rsidRPr="00C17356">
        <w:rPr>
          <w:rFonts w:ascii="Courier New" w:eastAsia="Times New Roman" w:hAnsi="Courier New" w:cs="Courier New"/>
          <w:sz w:val="20"/>
          <w:szCs w:val="20"/>
          <w:lang w:eastAsia="en-IN"/>
        </w:rPr>
        <w:t>_miss</w:t>
      </w:r>
      <w:proofErr w:type="spellEnd"/>
      <w:r w:rsidRPr="00C17356">
        <w:rPr>
          <w:rFonts w:ascii="Courier New" w:eastAsia="Times New Roman" w:hAnsi="Courier New" w:cs="Courier New"/>
          <w:sz w:val="20"/>
          <w:szCs w:val="20"/>
          <w:lang w:eastAsia="en-IN"/>
        </w:rPr>
        <w:t xml:space="preserve"> `1-p_miss` </w:t>
      </w:r>
      <w:proofErr w:type="spellStart"/>
      <w:r w:rsidRPr="00C17356">
        <w:rPr>
          <w:rFonts w:ascii="Courier New" w:eastAsia="Times New Roman" w:hAnsi="Courier New" w:cs="Courier New"/>
          <w:sz w:val="20"/>
          <w:szCs w:val="20"/>
          <w:lang w:eastAsia="en-IN"/>
        </w:rPr>
        <w:t>p_out_derived</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area_zone</w:t>
      </w:r>
      <w:proofErr w:type="spellEnd"/>
    </w:p>
    <w:p w14:paraId="0CEA2DF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0EF1A80F"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1 </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xml:space="preserve">   0.123 0.00278      0.997         </w:t>
      </w:r>
      <w:proofErr w:type="gramStart"/>
      <w:r w:rsidRPr="00C17356">
        <w:rPr>
          <w:rFonts w:ascii="Courier New" w:eastAsia="Times New Roman" w:hAnsi="Courier New" w:cs="Courier New"/>
          <w:sz w:val="20"/>
          <w:szCs w:val="20"/>
          <w:lang w:eastAsia="en-IN"/>
        </w:rPr>
        <w:t>0.117  2500009</w:t>
      </w:r>
      <w:proofErr w:type="gramEnd"/>
      <w:r w:rsidRPr="00C17356">
        <w:rPr>
          <w:rFonts w:ascii="Courier New" w:eastAsia="Times New Roman" w:hAnsi="Courier New" w:cs="Courier New"/>
          <w:sz w:val="20"/>
          <w:szCs w:val="20"/>
          <w:lang w:eastAsia="en-IN"/>
        </w:rPr>
        <w:t>.</w:t>
      </w:r>
    </w:p>
    <w:p w14:paraId="67C906B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2 </w:t>
      </w:r>
      <w:proofErr w:type="spellStart"/>
      <w:r w:rsidRPr="00C17356">
        <w:rPr>
          <w:rFonts w:ascii="Courier New" w:eastAsia="Times New Roman" w:hAnsi="Courier New" w:cs="Courier New"/>
          <w:sz w:val="20"/>
          <w:szCs w:val="20"/>
          <w:lang w:eastAsia="en-IN"/>
        </w:rPr>
        <w:t>intens</w:t>
      </w:r>
      <w:proofErr w:type="spellEnd"/>
      <w:r w:rsidRPr="00C17356">
        <w:rPr>
          <w:rFonts w:ascii="Courier New" w:eastAsia="Times New Roman" w:hAnsi="Courier New" w:cs="Courier New"/>
          <w:sz w:val="20"/>
          <w:szCs w:val="20"/>
          <w:lang w:eastAsia="en-IN"/>
        </w:rPr>
        <w:t xml:space="preserve"> </w:t>
      </w:r>
      <w:proofErr w:type="gramStart"/>
      <w:r w:rsidRPr="00C17356">
        <w:rPr>
          <w:rFonts w:ascii="Courier New" w:eastAsia="Times New Roman" w:hAnsi="Courier New" w:cs="Courier New"/>
          <w:sz w:val="20"/>
          <w:szCs w:val="20"/>
          <w:lang w:eastAsia="en-IN"/>
        </w:rPr>
        <w:t>0.55  0.0172</w:t>
      </w:r>
      <w:proofErr w:type="gramEnd"/>
      <w:r w:rsidRPr="00C17356">
        <w:rPr>
          <w:rFonts w:ascii="Courier New" w:eastAsia="Times New Roman" w:hAnsi="Courier New" w:cs="Courier New"/>
          <w:sz w:val="20"/>
          <w:szCs w:val="20"/>
          <w:lang w:eastAsia="en-IN"/>
        </w:rPr>
        <w:t xml:space="preserve">       0.983         0.539  2499994.</w:t>
      </w:r>
    </w:p>
    <w:p w14:paraId="26127378"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For the particular example we see an advantage of using the NND method, because both </w:t>
      </w:r>
      <w:proofErr w:type="spellStart"/>
      <w:r w:rsidRPr="00C17356">
        <w:rPr>
          <w:rFonts w:ascii="Courier New" w:eastAsia="Times New Roman" w:hAnsi="Courier New" w:cs="Courier New"/>
          <w:sz w:val="20"/>
          <w:szCs w:val="20"/>
          <w:lang w:eastAsia="en-IN"/>
        </w:rPr>
        <w:t>p_out</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Courier New" w:eastAsia="Times New Roman" w:hAnsi="Courier New" w:cs="Courier New"/>
          <w:sz w:val="20"/>
          <w:szCs w:val="20"/>
          <w:lang w:eastAsia="en-IN"/>
        </w:rPr>
        <w:t>p_miss</w:t>
      </w:r>
      <w:proofErr w:type="spellEnd"/>
      <w:r w:rsidRPr="00C17356">
        <w:rPr>
          <w:rFonts w:ascii="Times New Roman" w:eastAsia="Times New Roman" w:hAnsi="Times New Roman" w:cs="Times New Roman"/>
          <w:sz w:val="20"/>
          <w:szCs w:val="20"/>
          <w:lang w:eastAsia="en-IN"/>
        </w:rPr>
        <w:t xml:space="preserve"> </w:t>
      </w:r>
      <w:proofErr w:type="gramStart"/>
      <w:r w:rsidRPr="00C17356">
        <w:rPr>
          <w:rFonts w:ascii="Times New Roman" w:eastAsia="Times New Roman" w:hAnsi="Times New Roman" w:cs="Times New Roman"/>
          <w:sz w:val="20"/>
          <w:szCs w:val="20"/>
          <w:lang w:eastAsia="en-IN"/>
        </w:rPr>
        <w:t>are</w:t>
      </w:r>
      <w:proofErr w:type="gramEnd"/>
      <w:r w:rsidRPr="00C17356">
        <w:rPr>
          <w:rFonts w:ascii="Times New Roman" w:eastAsia="Times New Roman" w:hAnsi="Times New Roman" w:cs="Times New Roman"/>
          <w:sz w:val="20"/>
          <w:szCs w:val="20"/>
          <w:lang w:eastAsia="en-IN"/>
        </w:rPr>
        <w:t xml:space="preserve"> much lower for the intensity based method. Again, this might be due to the intensity method being based on assumptions, which for the particular example do not appear to be so adequate. Results in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(2013) were, however, much better for this example (c.f. Tab 2), which could be an indication that there is a problem in the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xml:space="preserve"> package implementation of this method?</w:t>
      </w:r>
    </w:p>
    <w:p w14:paraId="2CE47ACB" w14:textId="77777777" w:rsidR="00C17356" w:rsidRPr="00C17356" w:rsidRDefault="00C17356" w:rsidP="00C17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356">
        <w:rPr>
          <w:rFonts w:ascii="Times New Roman" w:eastAsia="Times New Roman" w:hAnsi="Times New Roman" w:cs="Times New Roman"/>
          <w:b/>
          <w:bCs/>
          <w:sz w:val="36"/>
          <w:szCs w:val="36"/>
          <w:lang w:eastAsia="en-IN"/>
        </w:rPr>
        <w:t>Discussion</w:t>
      </w:r>
    </w:p>
    <w:p w14:paraId="54477A10"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Being a statistician is fascinating, because the job is the entry ticket to so many diverse research fields. The proposed methods and evaluations helped the </w:t>
      </w:r>
      <w:proofErr w:type="spellStart"/>
      <w:r w:rsidRPr="00C17356">
        <w:rPr>
          <w:rFonts w:ascii="Times New Roman" w:eastAsia="Times New Roman" w:hAnsi="Times New Roman" w:cs="Times New Roman"/>
          <w:i/>
          <w:iCs/>
          <w:sz w:val="20"/>
          <w:szCs w:val="20"/>
          <w:lang w:eastAsia="en-IN"/>
        </w:rPr>
        <w:t>Oberfinanzdirektion</w:t>
      </w:r>
      <w:proofErr w:type="spellEnd"/>
      <w:r w:rsidRPr="00C17356">
        <w:rPr>
          <w:rFonts w:ascii="Times New Roman" w:eastAsia="Times New Roman" w:hAnsi="Times New Roman" w:cs="Times New Roman"/>
          <w:sz w:val="20"/>
          <w:szCs w:val="20"/>
          <w:lang w:eastAsia="en-IN"/>
        </w:rPr>
        <w:t xml:space="preserve"> obtain a quantitative framework to decide which methods to use in their routine risk-assessment. Further details on the above application can be found in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as well as in </w:t>
      </w:r>
      <w:hyperlink r:id="rId20" w:tgtFrame="_blank" w:history="1">
        <w:r w:rsidRPr="00C17356">
          <w:rPr>
            <w:rFonts w:ascii="Times New Roman" w:eastAsia="Times New Roman" w:hAnsi="Times New Roman" w:cs="Times New Roman"/>
            <w:color w:val="0000FF"/>
            <w:sz w:val="20"/>
            <w:szCs w:val="20"/>
            <w:u w:val="single"/>
            <w:lang w:eastAsia="en-IN"/>
          </w:rPr>
          <w:t>Monia’s Ph.D. dissertation</w:t>
        </w:r>
      </w:hyperlink>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2013). Note also that the techniques are not limited to UXB detection: Infer-unknown-points-from-a-thinned-process problems occur both in 1D and 2D point processes in a range of other fields, e.g., under-reporting of infectious disease locations or in the calculation of animal abundance in ecology.</w:t>
      </w:r>
    </w:p>
    <w:p w14:paraId="55229A1E"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As a personal anecdote: When finishing the work on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I was in transition from university to working at a public health institute. The deal was to finish the UXB work partly in spare-time and partly in the new work time. To honour </w:t>
      </w:r>
      <w:proofErr w:type="gramStart"/>
      <w:r w:rsidRPr="00C17356">
        <w:rPr>
          <w:rFonts w:ascii="Times New Roman" w:eastAsia="Times New Roman" w:hAnsi="Times New Roman" w:cs="Times New Roman"/>
          <w:sz w:val="20"/>
          <w:szCs w:val="20"/>
          <w:lang w:eastAsia="en-IN"/>
        </w:rPr>
        <w:t>this</w:t>
      </w:r>
      <w:proofErr w:type="gramEnd"/>
      <w:r w:rsidRPr="00C17356">
        <w:rPr>
          <w:rFonts w:ascii="Times New Roman" w:eastAsia="Times New Roman" w:hAnsi="Times New Roman" w:cs="Times New Roman"/>
          <w:sz w:val="20"/>
          <w:szCs w:val="20"/>
          <w:lang w:eastAsia="en-IN"/>
        </w:rPr>
        <w:t xml:space="preserve"> I added my new work place as second affiliation before submitting, but as part of the institution’s internal clearing procedure of the publication, I was asked to remove this affiliation again by the higher management, because the work ‘had nothing to do with public health’. While its questionable whether exploding bombs really do not have a public health impact, a few months later, I ended up using very similar statistical techniques to model occurred-but-not-yet-reported cases during a critical infectious disease outbreak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an der Heiden 2014).</w:t>
      </w:r>
    </w:p>
    <w:p w14:paraId="2B7F56BA" w14:textId="77777777" w:rsidR="00C17356" w:rsidRPr="00C17356" w:rsidRDefault="00C17356" w:rsidP="00C17356">
      <w:pPr>
        <w:spacing w:after="0" w:line="240" w:lineRule="auto"/>
        <w:jc w:val="center"/>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lastRenderedPageBreak/>
        <w:br/>
      </w:r>
      <w:r w:rsidRPr="00C17356">
        <w:rPr>
          <w:rFonts w:ascii="Times New Roman" w:eastAsia="Times New Roman" w:hAnsi="Times New Roman" w:cs="Times New Roman"/>
          <w:noProof/>
          <w:color w:val="0000FF"/>
          <w:sz w:val="20"/>
          <w:szCs w:val="20"/>
          <w:lang w:eastAsia="en-IN"/>
        </w:rPr>
        <w:drawing>
          <wp:inline distT="0" distB="0" distL="0" distR="0" wp14:anchorId="072EEE76" wp14:editId="2E7EEC0D">
            <wp:extent cx="4290060" cy="3086100"/>
            <wp:effectExtent l="0" t="0" r="0" b="0"/>
            <wp:docPr id="10" name="Picture 10" descr="Grand Slam bomb exploding near Arnsberg viaduct 1945">
              <a:hlinkClick xmlns:a="http://schemas.openxmlformats.org/drawingml/2006/main" r:id="rId21" tgtFrame="&quot;_blank&quot;" tooltip="&quot;By No 4 RAFFPU, Royal Air Force official photographer [Public domain], via Wikimedi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nd Slam bomb exploding near Arnsberg viaduct 1945">
                      <a:hlinkClick r:id="rId21" tgtFrame="&quot;_blank&quot;" tooltip="&quot;By No 4 RAFFPU, Royal Air Force official photographer [Public domain], via Wikimedia Common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086100"/>
                    </a:xfrm>
                    <a:prstGeom prst="rect">
                      <a:avLst/>
                    </a:prstGeom>
                    <a:noFill/>
                    <a:ln>
                      <a:noFill/>
                    </a:ln>
                  </pic:spPr>
                </pic:pic>
              </a:graphicData>
            </a:graphic>
          </wp:inline>
        </w:drawing>
      </w:r>
    </w:p>
    <w:p w14:paraId="4F2EF1A4" w14:textId="77777777" w:rsidR="00C17356" w:rsidRPr="00C17356" w:rsidRDefault="00C17356" w:rsidP="00C17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356">
        <w:rPr>
          <w:rFonts w:ascii="Times New Roman" w:eastAsia="Times New Roman" w:hAnsi="Times New Roman" w:cs="Times New Roman"/>
          <w:b/>
          <w:bCs/>
          <w:sz w:val="36"/>
          <w:szCs w:val="36"/>
          <w:lang w:eastAsia="en-IN"/>
        </w:rPr>
        <w:t>Literature</w:t>
      </w:r>
    </w:p>
    <w:p w14:paraId="56F8F2C6"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Baddeley, A., E. Rubak, and R. Turner. 2015. </w:t>
      </w:r>
      <w:r w:rsidRPr="00C17356">
        <w:rPr>
          <w:rFonts w:ascii="Times New Roman" w:eastAsia="Times New Roman" w:hAnsi="Times New Roman" w:cs="Times New Roman"/>
          <w:i/>
          <w:iCs/>
          <w:sz w:val="20"/>
          <w:szCs w:val="20"/>
          <w:lang w:eastAsia="en-IN"/>
        </w:rPr>
        <w:t>Spatial Point Patterns: Methodology and Applications with R</w:t>
      </w:r>
      <w:r w:rsidRPr="00C17356">
        <w:rPr>
          <w:rFonts w:ascii="Times New Roman" w:eastAsia="Times New Roman" w:hAnsi="Times New Roman" w:cs="Times New Roman"/>
          <w:sz w:val="20"/>
          <w:szCs w:val="20"/>
          <w:lang w:eastAsia="en-IN"/>
        </w:rPr>
        <w:t>. London: Chapman; Hall/CRC Press.</w:t>
      </w:r>
    </w:p>
    <w:p w14:paraId="278679B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M., and M. an der Heiden. 2014. “Bayesian Nowcasting During the STEC O104:H4 Outbreak in Germany, 2011.” </w:t>
      </w:r>
      <w:r w:rsidRPr="00C17356">
        <w:rPr>
          <w:rFonts w:ascii="Times New Roman" w:eastAsia="Times New Roman" w:hAnsi="Times New Roman" w:cs="Times New Roman"/>
          <w:i/>
          <w:iCs/>
          <w:sz w:val="20"/>
          <w:szCs w:val="20"/>
          <w:lang w:eastAsia="en-IN"/>
        </w:rPr>
        <w:t>Biometrics</w:t>
      </w:r>
      <w:r w:rsidRPr="00C17356">
        <w:rPr>
          <w:rFonts w:ascii="Times New Roman" w:eastAsia="Times New Roman" w:hAnsi="Times New Roman" w:cs="Times New Roman"/>
          <w:sz w:val="20"/>
          <w:szCs w:val="20"/>
          <w:lang w:eastAsia="en-IN"/>
        </w:rPr>
        <w:t xml:space="preserve"> 70 (4): 993–1002. doi:</w:t>
      </w:r>
      <w:hyperlink r:id="rId23" w:tgtFrame="_blank" w:history="1">
        <w:r w:rsidRPr="00C17356">
          <w:rPr>
            <w:rFonts w:ascii="Times New Roman" w:eastAsia="Times New Roman" w:hAnsi="Times New Roman" w:cs="Times New Roman"/>
            <w:color w:val="0000FF"/>
            <w:sz w:val="20"/>
            <w:szCs w:val="20"/>
            <w:u w:val="single"/>
            <w:lang w:eastAsia="en-IN"/>
          </w:rPr>
          <w:t>10.1111/biom.12194</w:t>
        </w:r>
      </w:hyperlink>
      <w:r w:rsidRPr="00C17356">
        <w:rPr>
          <w:rFonts w:ascii="Times New Roman" w:eastAsia="Times New Roman" w:hAnsi="Times New Roman" w:cs="Times New Roman"/>
          <w:sz w:val="20"/>
          <w:szCs w:val="20"/>
          <w:lang w:eastAsia="en-IN"/>
        </w:rPr>
        <w:t>.</w:t>
      </w:r>
    </w:p>
    <w:p w14:paraId="6CF8F909"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Illian, J., A. Penttinen, H. Stoyan, and D. Stoyan. 2008. </w:t>
      </w:r>
      <w:proofErr w:type="spellStart"/>
      <w:r w:rsidRPr="00C17356">
        <w:rPr>
          <w:rFonts w:ascii="Times New Roman" w:eastAsia="Times New Roman" w:hAnsi="Times New Roman" w:cs="Times New Roman"/>
          <w:i/>
          <w:iCs/>
          <w:sz w:val="20"/>
          <w:szCs w:val="20"/>
          <w:lang w:eastAsia="en-IN"/>
        </w:rPr>
        <w:t>Stistical</w:t>
      </w:r>
      <w:proofErr w:type="spellEnd"/>
      <w:r w:rsidRPr="00C17356">
        <w:rPr>
          <w:rFonts w:ascii="Times New Roman" w:eastAsia="Times New Roman" w:hAnsi="Times New Roman" w:cs="Times New Roman"/>
          <w:i/>
          <w:iCs/>
          <w:sz w:val="20"/>
          <w:szCs w:val="20"/>
          <w:lang w:eastAsia="en-IN"/>
        </w:rPr>
        <w:t xml:space="preserve"> Analysis and Modelling of Spatial Point Patterns</w:t>
      </w:r>
      <w:r w:rsidRPr="00C17356">
        <w:rPr>
          <w:rFonts w:ascii="Times New Roman" w:eastAsia="Times New Roman" w:hAnsi="Times New Roman" w:cs="Times New Roman"/>
          <w:sz w:val="20"/>
          <w:szCs w:val="20"/>
          <w:lang w:eastAsia="en-IN"/>
        </w:rPr>
        <w:t>. Wiley.</w:t>
      </w:r>
    </w:p>
    <w:p w14:paraId="2676C30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M. 2013. “Determining High-Risk Zones by Using Spatial Point Process Methodology.” PhD thesis, Department of Statistics, University of Munich. </w:t>
      </w:r>
      <w:hyperlink r:id="rId24" w:tgtFrame="_blank" w:history="1">
        <w:r w:rsidRPr="00C17356">
          <w:rPr>
            <w:rFonts w:ascii="Times New Roman" w:eastAsia="Times New Roman" w:hAnsi="Times New Roman" w:cs="Times New Roman"/>
            <w:color w:val="0000FF"/>
            <w:sz w:val="20"/>
            <w:szCs w:val="20"/>
            <w:u w:val="single"/>
            <w:lang w:eastAsia="en-IN"/>
          </w:rPr>
          <w:t>https://edoc.ub.uni-muenchen.de/15886/1/Mahling_Monia.pdf</w:t>
        </w:r>
      </w:hyperlink>
      <w:r w:rsidRPr="00C17356">
        <w:rPr>
          <w:rFonts w:ascii="Times New Roman" w:eastAsia="Times New Roman" w:hAnsi="Times New Roman" w:cs="Times New Roman"/>
          <w:sz w:val="20"/>
          <w:szCs w:val="20"/>
          <w:lang w:eastAsia="en-IN"/>
        </w:rPr>
        <w:t>.</w:t>
      </w:r>
    </w:p>
    <w:p w14:paraId="3523FD91"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M., M.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H.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“Determining high-risk zones for unexploded World War II bombs by using point process methodology.” </w:t>
      </w:r>
      <w:r w:rsidRPr="00C17356">
        <w:rPr>
          <w:rFonts w:ascii="Times New Roman" w:eastAsia="Times New Roman" w:hAnsi="Times New Roman" w:cs="Times New Roman"/>
          <w:i/>
          <w:iCs/>
          <w:sz w:val="20"/>
          <w:szCs w:val="20"/>
          <w:lang w:eastAsia="en-IN"/>
        </w:rPr>
        <w:t>Journal of the Royal Statistical Society, Series C</w:t>
      </w:r>
      <w:r w:rsidRPr="00C17356">
        <w:rPr>
          <w:rFonts w:ascii="Times New Roman" w:eastAsia="Times New Roman" w:hAnsi="Times New Roman" w:cs="Times New Roman"/>
          <w:sz w:val="20"/>
          <w:szCs w:val="20"/>
          <w:lang w:eastAsia="en-IN"/>
        </w:rPr>
        <w:t xml:space="preserve"> 62 (2): 181–99. doi:</w:t>
      </w:r>
      <w:hyperlink r:id="rId25" w:tgtFrame="_blank" w:history="1">
        <w:r w:rsidRPr="00C17356">
          <w:rPr>
            <w:rFonts w:ascii="Times New Roman" w:eastAsia="Times New Roman" w:hAnsi="Times New Roman" w:cs="Times New Roman"/>
            <w:color w:val="0000FF"/>
            <w:sz w:val="20"/>
            <w:szCs w:val="20"/>
            <w:u w:val="single"/>
            <w:lang w:eastAsia="en-IN"/>
          </w:rPr>
          <w:t>10.1111/j.1467-9876.</w:t>
        </w:r>
        <w:proofErr w:type="gramStart"/>
        <w:r w:rsidRPr="00C17356">
          <w:rPr>
            <w:rFonts w:ascii="Times New Roman" w:eastAsia="Times New Roman" w:hAnsi="Times New Roman" w:cs="Times New Roman"/>
            <w:color w:val="0000FF"/>
            <w:sz w:val="20"/>
            <w:szCs w:val="20"/>
            <w:u w:val="single"/>
            <w:lang w:eastAsia="en-IN"/>
          </w:rPr>
          <w:t>2012.01055.x</w:t>
        </w:r>
        <w:proofErr w:type="gramEnd"/>
      </w:hyperlink>
      <w:r w:rsidRPr="00C17356">
        <w:rPr>
          <w:rFonts w:ascii="Times New Roman" w:eastAsia="Times New Roman" w:hAnsi="Times New Roman" w:cs="Times New Roman"/>
          <w:sz w:val="20"/>
          <w:szCs w:val="20"/>
          <w:lang w:eastAsia="en-IN"/>
        </w:rPr>
        <w:t>.</w:t>
      </w:r>
    </w:p>
    <w:p w14:paraId="40C37559"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Seibold, H., M.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S. Linne, and F. Günther. 2017. </w:t>
      </w:r>
      <w:proofErr w:type="spellStart"/>
      <w:r w:rsidRPr="00C17356">
        <w:rPr>
          <w:rFonts w:ascii="Times New Roman" w:eastAsia="Times New Roman" w:hAnsi="Times New Roman" w:cs="Times New Roman"/>
          <w:i/>
          <w:iCs/>
          <w:sz w:val="20"/>
          <w:szCs w:val="20"/>
          <w:lang w:eastAsia="en-IN"/>
        </w:rPr>
        <w:t>Highriskzone</w:t>
      </w:r>
      <w:proofErr w:type="spellEnd"/>
      <w:r w:rsidRPr="00C17356">
        <w:rPr>
          <w:rFonts w:ascii="Times New Roman" w:eastAsia="Times New Roman" w:hAnsi="Times New Roman" w:cs="Times New Roman"/>
          <w:i/>
          <w:iCs/>
          <w:sz w:val="20"/>
          <w:szCs w:val="20"/>
          <w:lang w:eastAsia="en-IN"/>
        </w:rPr>
        <w:t>: Determining and Evaluating High-Risk Zones</w:t>
      </w:r>
      <w:r w:rsidRPr="00C17356">
        <w:rPr>
          <w:rFonts w:ascii="Times New Roman" w:eastAsia="Times New Roman" w:hAnsi="Times New Roman" w:cs="Times New Roman"/>
          <w:sz w:val="20"/>
          <w:szCs w:val="20"/>
          <w:lang w:eastAsia="en-IN"/>
        </w:rPr>
        <w:t xml:space="preserve">. </w:t>
      </w:r>
      <w:hyperlink r:id="rId26" w:tgtFrame="_blank" w:history="1">
        <w:r w:rsidRPr="00C17356">
          <w:rPr>
            <w:rFonts w:ascii="Times New Roman" w:eastAsia="Times New Roman" w:hAnsi="Times New Roman" w:cs="Times New Roman"/>
            <w:color w:val="0000FF"/>
            <w:sz w:val="20"/>
            <w:szCs w:val="20"/>
            <w:u w:val="single"/>
            <w:lang w:eastAsia="en-IN"/>
          </w:rPr>
          <w:t>https://cran.r-project.org/web/packages/highriskzone/index.html</w:t>
        </w:r>
      </w:hyperlink>
      <w:r w:rsidRPr="00C17356">
        <w:rPr>
          <w:rFonts w:ascii="Times New Roman" w:eastAsia="Times New Roman" w:hAnsi="Times New Roman" w:cs="Times New Roman"/>
          <w:sz w:val="20"/>
          <w:szCs w:val="20"/>
          <w:lang w:eastAsia="en-IN"/>
        </w:rPr>
        <w:t>.</w:t>
      </w:r>
    </w:p>
    <w:p w14:paraId="7D3A03AE"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353BF"/>
    <w:multiLevelType w:val="multilevel"/>
    <w:tmpl w:val="FD90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56"/>
    <w:rsid w:val="00457B36"/>
    <w:rsid w:val="00C17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3896"/>
  <w15:chartTrackingRefBased/>
  <w15:docId w15:val="{76705746-1A97-4520-AE94-FA5DF59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49653">
      <w:bodyDiv w:val="1"/>
      <w:marLeft w:val="0"/>
      <w:marRight w:val="0"/>
      <w:marTop w:val="0"/>
      <w:marBottom w:val="0"/>
      <w:divBdr>
        <w:top w:val="none" w:sz="0" w:space="0" w:color="auto"/>
        <w:left w:val="none" w:sz="0" w:space="0" w:color="auto"/>
        <w:bottom w:val="none" w:sz="0" w:space="0" w:color="auto"/>
        <w:right w:val="none" w:sz="0" w:space="0" w:color="auto"/>
      </w:divBdr>
      <w:divsChild>
        <w:div w:id="1145925309">
          <w:marLeft w:val="0"/>
          <w:marRight w:val="0"/>
          <w:marTop w:val="0"/>
          <w:marBottom w:val="0"/>
          <w:divBdr>
            <w:top w:val="none" w:sz="0" w:space="0" w:color="auto"/>
            <w:left w:val="none" w:sz="0" w:space="0" w:color="auto"/>
            <w:bottom w:val="none" w:sz="0" w:space="0" w:color="auto"/>
            <w:right w:val="none" w:sz="0" w:space="0" w:color="auto"/>
          </w:divBdr>
        </w:div>
        <w:div w:id="2058310296">
          <w:marLeft w:val="0"/>
          <w:marRight w:val="0"/>
          <w:marTop w:val="0"/>
          <w:marBottom w:val="0"/>
          <w:divBdr>
            <w:top w:val="none" w:sz="0" w:space="0" w:color="auto"/>
            <w:left w:val="none" w:sz="0" w:space="0" w:color="auto"/>
            <w:bottom w:val="none" w:sz="0" w:space="0" w:color="auto"/>
            <w:right w:val="none" w:sz="0" w:space="0" w:color="auto"/>
          </w:divBdr>
        </w:div>
        <w:div w:id="1100832685">
          <w:marLeft w:val="0"/>
          <w:marRight w:val="0"/>
          <w:marTop w:val="0"/>
          <w:marBottom w:val="0"/>
          <w:divBdr>
            <w:top w:val="none" w:sz="0" w:space="0" w:color="auto"/>
            <w:left w:val="none" w:sz="0" w:space="0" w:color="auto"/>
            <w:bottom w:val="none" w:sz="0" w:space="0" w:color="auto"/>
            <w:right w:val="none" w:sz="0" w:space="0" w:color="auto"/>
          </w:divBdr>
        </w:div>
        <w:div w:id="59443711">
          <w:marLeft w:val="0"/>
          <w:marRight w:val="0"/>
          <w:marTop w:val="0"/>
          <w:marBottom w:val="0"/>
          <w:divBdr>
            <w:top w:val="none" w:sz="0" w:space="0" w:color="auto"/>
            <w:left w:val="none" w:sz="0" w:space="0" w:color="auto"/>
            <w:bottom w:val="none" w:sz="0" w:space="0" w:color="auto"/>
            <w:right w:val="none" w:sz="0" w:space="0" w:color="auto"/>
          </w:divBdr>
        </w:div>
        <w:div w:id="224149048">
          <w:marLeft w:val="0"/>
          <w:marRight w:val="0"/>
          <w:marTop w:val="0"/>
          <w:marBottom w:val="0"/>
          <w:divBdr>
            <w:top w:val="none" w:sz="0" w:space="0" w:color="auto"/>
            <w:left w:val="none" w:sz="0" w:space="0" w:color="auto"/>
            <w:bottom w:val="none" w:sz="0" w:space="0" w:color="auto"/>
            <w:right w:val="none" w:sz="0" w:space="0" w:color="auto"/>
          </w:divBdr>
        </w:div>
        <w:div w:id="2119791182">
          <w:marLeft w:val="0"/>
          <w:marRight w:val="0"/>
          <w:marTop w:val="0"/>
          <w:marBottom w:val="0"/>
          <w:divBdr>
            <w:top w:val="none" w:sz="0" w:space="0" w:color="auto"/>
            <w:left w:val="none" w:sz="0" w:space="0" w:color="auto"/>
            <w:bottom w:val="none" w:sz="0" w:space="0" w:color="auto"/>
            <w:right w:val="none" w:sz="0" w:space="0" w:color="auto"/>
          </w:divBdr>
        </w:div>
        <w:div w:id="1097359779">
          <w:marLeft w:val="0"/>
          <w:marRight w:val="0"/>
          <w:marTop w:val="0"/>
          <w:marBottom w:val="0"/>
          <w:divBdr>
            <w:top w:val="none" w:sz="0" w:space="0" w:color="auto"/>
            <w:left w:val="none" w:sz="0" w:space="0" w:color="auto"/>
            <w:bottom w:val="none" w:sz="0" w:space="0" w:color="auto"/>
            <w:right w:val="none" w:sz="0" w:space="0" w:color="auto"/>
          </w:divBdr>
        </w:div>
        <w:div w:id="1644237072">
          <w:marLeft w:val="0"/>
          <w:marRight w:val="0"/>
          <w:marTop w:val="0"/>
          <w:marBottom w:val="0"/>
          <w:divBdr>
            <w:top w:val="none" w:sz="0" w:space="0" w:color="auto"/>
            <w:left w:val="none" w:sz="0" w:space="0" w:color="auto"/>
            <w:bottom w:val="none" w:sz="0" w:space="0" w:color="auto"/>
            <w:right w:val="none" w:sz="0" w:space="0" w:color="auto"/>
          </w:divBdr>
        </w:div>
        <w:div w:id="1878589869">
          <w:marLeft w:val="0"/>
          <w:marRight w:val="0"/>
          <w:marTop w:val="0"/>
          <w:marBottom w:val="0"/>
          <w:divBdr>
            <w:top w:val="none" w:sz="0" w:space="0" w:color="auto"/>
            <w:left w:val="none" w:sz="0" w:space="0" w:color="auto"/>
            <w:bottom w:val="none" w:sz="0" w:space="0" w:color="auto"/>
            <w:right w:val="none" w:sz="0" w:space="0" w:color="auto"/>
          </w:divBdr>
          <w:divsChild>
            <w:div w:id="802625829">
              <w:marLeft w:val="0"/>
              <w:marRight w:val="0"/>
              <w:marTop w:val="0"/>
              <w:marBottom w:val="0"/>
              <w:divBdr>
                <w:top w:val="none" w:sz="0" w:space="0" w:color="auto"/>
                <w:left w:val="none" w:sz="0" w:space="0" w:color="auto"/>
                <w:bottom w:val="none" w:sz="0" w:space="0" w:color="auto"/>
                <w:right w:val="none" w:sz="0" w:space="0" w:color="auto"/>
              </w:divBdr>
            </w:div>
            <w:div w:id="814837372">
              <w:marLeft w:val="0"/>
              <w:marRight w:val="0"/>
              <w:marTop w:val="0"/>
              <w:marBottom w:val="0"/>
              <w:divBdr>
                <w:top w:val="none" w:sz="0" w:space="0" w:color="auto"/>
                <w:left w:val="none" w:sz="0" w:space="0" w:color="auto"/>
                <w:bottom w:val="none" w:sz="0" w:space="0" w:color="auto"/>
                <w:right w:val="none" w:sz="0" w:space="0" w:color="auto"/>
              </w:divBdr>
            </w:div>
            <w:div w:id="567112421">
              <w:marLeft w:val="0"/>
              <w:marRight w:val="0"/>
              <w:marTop w:val="0"/>
              <w:marBottom w:val="0"/>
              <w:divBdr>
                <w:top w:val="none" w:sz="0" w:space="0" w:color="auto"/>
                <w:left w:val="none" w:sz="0" w:space="0" w:color="auto"/>
                <w:bottom w:val="none" w:sz="0" w:space="0" w:color="auto"/>
                <w:right w:val="none" w:sz="0" w:space="0" w:color="auto"/>
              </w:divBdr>
            </w:div>
            <w:div w:id="1389961923">
              <w:marLeft w:val="0"/>
              <w:marRight w:val="0"/>
              <w:marTop w:val="0"/>
              <w:marBottom w:val="0"/>
              <w:divBdr>
                <w:top w:val="none" w:sz="0" w:space="0" w:color="auto"/>
                <w:left w:val="none" w:sz="0" w:space="0" w:color="auto"/>
                <w:bottom w:val="none" w:sz="0" w:space="0" w:color="auto"/>
                <w:right w:val="none" w:sz="0" w:space="0" w:color="auto"/>
              </w:divBdr>
            </w:div>
            <w:div w:id="331496858">
              <w:marLeft w:val="0"/>
              <w:marRight w:val="0"/>
              <w:marTop w:val="0"/>
              <w:marBottom w:val="0"/>
              <w:divBdr>
                <w:top w:val="none" w:sz="0" w:space="0" w:color="auto"/>
                <w:left w:val="none" w:sz="0" w:space="0" w:color="auto"/>
                <w:bottom w:val="none" w:sz="0" w:space="0" w:color="auto"/>
                <w:right w:val="none" w:sz="0" w:space="0" w:color="auto"/>
              </w:divBdr>
            </w:div>
            <w:div w:id="13466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hyperlink" Target="https://ncap.org.uk/sites/default/files/NCAP_JARIC_106G_4923_4226_UXO_600.jpg" TargetMode="External"/><Relationship Id="rId18" Type="http://schemas.openxmlformats.org/officeDocument/2006/relationships/image" Target="media/image2.png"/><Relationship Id="rId26" Type="http://schemas.openxmlformats.org/officeDocument/2006/relationships/hyperlink" Target="https://cran.r-project.org/web/packages/highriskzone/index.html" TargetMode="External"/><Relationship Id="rId3" Type="http://schemas.openxmlformats.org/officeDocument/2006/relationships/settings" Target="settings.xml"/><Relationship Id="rId21" Type="http://schemas.openxmlformats.org/officeDocument/2006/relationships/hyperlink" Target="https://i2.wp.com/commons.wikimedia.org/wiki/File:Grand_Slam_bomb_exploding_near_Arnsberg_viaduct_1945.jpg?ssl=1" TargetMode="External"/><Relationship Id="rId7" Type="http://schemas.openxmlformats.org/officeDocument/2006/relationships/image" Target="media/image1.png"/><Relationship Id="rId12" Type="http://schemas.openxmlformats.org/officeDocument/2006/relationships/hyperlink" Target="https://www.youtube.com/watch?v=wrIDT26BAt0" TargetMode="External"/><Relationship Id="rId17" Type="http://schemas.openxmlformats.org/officeDocument/2006/relationships/hyperlink" Target="http://www.stablab.stat.uni-muenchen.de/personen/doktoranden/guenther/index.html" TargetMode="External"/><Relationship Id="rId25" Type="http://schemas.openxmlformats.org/officeDocument/2006/relationships/hyperlink" Target="https://doi.org/10.1111/j.1467-9876.2012.01055.x" TargetMode="External"/><Relationship Id="rId2" Type="http://schemas.openxmlformats.org/officeDocument/2006/relationships/styles" Target="styles.xml"/><Relationship Id="rId16" Type="http://schemas.openxmlformats.org/officeDocument/2006/relationships/hyperlink" Target="http://heidiseibold.github.io/" TargetMode="External"/><Relationship Id="rId20" Type="http://schemas.openxmlformats.org/officeDocument/2006/relationships/hyperlink" Target="https://edoc.ub.uni-muenchen.de/15886/" TargetMode="External"/><Relationship Id="rId1" Type="http://schemas.openxmlformats.org/officeDocument/2006/relationships/numbering" Target="numbering.xml"/><Relationship Id="rId6" Type="http://schemas.openxmlformats.org/officeDocument/2006/relationships/hyperlink" Target="http://creativecommons.org/licenses/by-sa/4.0/" TargetMode="External"/><Relationship Id="rId11" Type="http://schemas.openxmlformats.org/officeDocument/2006/relationships/hyperlink" Target="https://ncap.org.uk/case-studies/explosive-ordnance-disposal" TargetMode="External"/><Relationship Id="rId24" Type="http://schemas.openxmlformats.org/officeDocument/2006/relationships/hyperlink" Target="https://edoc.ub.uni-muenchen.de/15886/1/Mahling_Monia.pdf" TargetMode="External"/><Relationship Id="rId5" Type="http://schemas.openxmlformats.org/officeDocument/2006/relationships/hyperlink" Target="http://ncap.org.uk/NCAP-000-000-022-423" TargetMode="External"/><Relationship Id="rId15" Type="http://schemas.openxmlformats.org/officeDocument/2006/relationships/hyperlink" Target="http://www.spiegel.de/international/business/firm-uses-historic-aerial-photos-to-find-unexploded-wwii-bombs-a-825836.html" TargetMode="External"/><Relationship Id="rId23" Type="http://schemas.openxmlformats.org/officeDocument/2006/relationships/hyperlink" Target="https://doi.org/10.1111/biom.12194" TargetMode="External"/><Relationship Id="rId28" Type="http://schemas.openxmlformats.org/officeDocument/2006/relationships/theme" Target="theme/theme1.xml"/><Relationship Id="rId10" Type="http://schemas.openxmlformats.org/officeDocument/2006/relationships/hyperlink" Target="https://www.smithsonianmag.com/history/seventy-years-world-war-two-thousands-tons-unexploded-bombs-germany-1809576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nu.org/licenses/gpl-3.0.html" TargetMode="External"/><Relationship Id="rId14" Type="http://schemas.openxmlformats.org/officeDocument/2006/relationships/hyperlink" Target="https://www.luftbilddatenbank.de/download/luftbilddatenbank.pdf" TargetMode="Externa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2704</Words>
  <Characters>15417</Characters>
  <Application>Microsoft Office Word</Application>
  <DocSecurity>0</DocSecurity>
  <Lines>128</Lines>
  <Paragraphs>36</Paragraphs>
  <ScaleCrop>false</ScaleCrop>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2021-12-21T08:06:00Z</dcterms:created>
  <dcterms:modified xsi:type="dcterms:W3CDTF">2021-12-21T08:06:00Z</dcterms:modified>
</cp:coreProperties>
</file>