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B1FC"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sz w:val="20"/>
          <w:szCs w:val="20"/>
          <w:lang w:eastAsia="en-IN"/>
        </w:rPr>
        <w:t xml:space="preserve">When plotting </w:t>
      </w:r>
      <w:proofErr w:type="gramStart"/>
      <w:r w:rsidRPr="00D77B2C">
        <w:rPr>
          <w:rFonts w:ascii="Times New Roman" w:eastAsia="Times New Roman" w:hAnsi="Times New Roman" w:cs="Times New Roman"/>
          <w:sz w:val="20"/>
          <w:szCs w:val="20"/>
          <w:lang w:eastAsia="en-IN"/>
        </w:rPr>
        <w:t>an</w:t>
      </w:r>
      <w:proofErr w:type="gramEnd"/>
      <w:r w:rsidRPr="00D77B2C">
        <w:rPr>
          <w:rFonts w:ascii="Times New Roman" w:eastAsia="Times New Roman" w:hAnsi="Times New Roman" w:cs="Times New Roman"/>
          <w:sz w:val="20"/>
          <w:szCs w:val="20"/>
          <w:lang w:eastAsia="en-IN"/>
        </w:rPr>
        <w:t xml:space="preserve"> </w:t>
      </w:r>
      <w:proofErr w:type="spellStart"/>
      <w:r w:rsidRPr="00D77B2C">
        <w:rPr>
          <w:rFonts w:ascii="Courier New" w:eastAsia="Times New Roman" w:hAnsi="Courier New" w:cs="Courier New"/>
          <w:sz w:val="20"/>
          <w:szCs w:val="20"/>
          <w:lang w:eastAsia="en-IN"/>
        </w:rPr>
        <w:t>lm</w:t>
      </w:r>
      <w:proofErr w:type="spellEnd"/>
      <w:r w:rsidRPr="00D77B2C">
        <w:rPr>
          <w:rFonts w:ascii="Times New Roman" w:eastAsia="Times New Roman" w:hAnsi="Times New Roman" w:cs="Times New Roman"/>
          <w:sz w:val="20"/>
          <w:szCs w:val="20"/>
          <w:lang w:eastAsia="en-IN"/>
        </w:rPr>
        <w:t xml:space="preserve"> object in R, one typically sees a 2 by 2 panel of diagnostic plots, much like the one below:</w:t>
      </w:r>
    </w:p>
    <w:p w14:paraId="02B5D1AA"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77B2C">
        <w:rPr>
          <w:rFonts w:ascii="Courier New" w:eastAsia="Times New Roman" w:hAnsi="Courier New" w:cs="Courier New"/>
          <w:sz w:val="20"/>
          <w:szCs w:val="20"/>
          <w:lang w:eastAsia="en-IN"/>
        </w:rPr>
        <w:t>set.seed</w:t>
      </w:r>
      <w:proofErr w:type="spellEnd"/>
      <w:proofErr w:type="gramEnd"/>
      <w:r w:rsidRPr="00D77B2C">
        <w:rPr>
          <w:rFonts w:ascii="Courier New" w:eastAsia="Times New Roman" w:hAnsi="Courier New" w:cs="Courier New"/>
          <w:sz w:val="20"/>
          <w:szCs w:val="20"/>
          <w:lang w:eastAsia="en-IN"/>
        </w:rPr>
        <w:t>(1)</w:t>
      </w:r>
    </w:p>
    <w:p w14:paraId="14391451"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B2C">
        <w:rPr>
          <w:rFonts w:ascii="Courier New" w:eastAsia="Times New Roman" w:hAnsi="Courier New" w:cs="Courier New"/>
          <w:sz w:val="20"/>
          <w:szCs w:val="20"/>
          <w:lang w:eastAsia="en-IN"/>
        </w:rPr>
        <w:t>x &lt;- matrix(</w:t>
      </w:r>
      <w:proofErr w:type="spellStart"/>
      <w:proofErr w:type="gramStart"/>
      <w:r w:rsidRPr="00D77B2C">
        <w:rPr>
          <w:rFonts w:ascii="Courier New" w:eastAsia="Times New Roman" w:hAnsi="Courier New" w:cs="Courier New"/>
          <w:sz w:val="20"/>
          <w:szCs w:val="20"/>
          <w:lang w:eastAsia="en-IN"/>
        </w:rPr>
        <w:t>rnorm</w:t>
      </w:r>
      <w:proofErr w:type="spellEnd"/>
      <w:r w:rsidRPr="00D77B2C">
        <w:rPr>
          <w:rFonts w:ascii="Courier New" w:eastAsia="Times New Roman" w:hAnsi="Courier New" w:cs="Courier New"/>
          <w:sz w:val="20"/>
          <w:szCs w:val="20"/>
          <w:lang w:eastAsia="en-IN"/>
        </w:rPr>
        <w:t>(</w:t>
      </w:r>
      <w:proofErr w:type="gramEnd"/>
      <w:r w:rsidRPr="00D77B2C">
        <w:rPr>
          <w:rFonts w:ascii="Courier New" w:eastAsia="Times New Roman" w:hAnsi="Courier New" w:cs="Courier New"/>
          <w:sz w:val="20"/>
          <w:szCs w:val="20"/>
          <w:lang w:eastAsia="en-IN"/>
        </w:rPr>
        <w:t xml:space="preserve">200), </w:t>
      </w:r>
      <w:proofErr w:type="spellStart"/>
      <w:r w:rsidRPr="00D77B2C">
        <w:rPr>
          <w:rFonts w:ascii="Courier New" w:eastAsia="Times New Roman" w:hAnsi="Courier New" w:cs="Courier New"/>
          <w:sz w:val="20"/>
          <w:szCs w:val="20"/>
          <w:lang w:eastAsia="en-IN"/>
        </w:rPr>
        <w:t>nrow</w:t>
      </w:r>
      <w:proofErr w:type="spellEnd"/>
      <w:r w:rsidRPr="00D77B2C">
        <w:rPr>
          <w:rFonts w:ascii="Courier New" w:eastAsia="Times New Roman" w:hAnsi="Courier New" w:cs="Courier New"/>
          <w:sz w:val="20"/>
          <w:szCs w:val="20"/>
          <w:lang w:eastAsia="en-IN"/>
        </w:rPr>
        <w:t xml:space="preserve"> = 20)</w:t>
      </w:r>
    </w:p>
    <w:p w14:paraId="6CCD2BAF"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B2C">
        <w:rPr>
          <w:rFonts w:ascii="Courier New" w:eastAsia="Times New Roman" w:hAnsi="Courier New" w:cs="Courier New"/>
          <w:sz w:val="20"/>
          <w:szCs w:val="20"/>
          <w:lang w:eastAsia="en-IN"/>
        </w:rPr>
        <w:t xml:space="preserve">y &lt;- </w:t>
      </w:r>
      <w:proofErr w:type="spellStart"/>
      <w:r w:rsidRPr="00D77B2C">
        <w:rPr>
          <w:rFonts w:ascii="Courier New" w:eastAsia="Times New Roman" w:hAnsi="Courier New" w:cs="Courier New"/>
          <w:sz w:val="20"/>
          <w:szCs w:val="20"/>
          <w:lang w:eastAsia="en-IN"/>
        </w:rPr>
        <w:t>rowSums</w:t>
      </w:r>
      <w:proofErr w:type="spellEnd"/>
      <w:r w:rsidRPr="00D77B2C">
        <w:rPr>
          <w:rFonts w:ascii="Courier New" w:eastAsia="Times New Roman" w:hAnsi="Courier New" w:cs="Courier New"/>
          <w:sz w:val="20"/>
          <w:szCs w:val="20"/>
          <w:lang w:eastAsia="en-IN"/>
        </w:rPr>
        <w:t>(</w:t>
      </w:r>
      <w:proofErr w:type="gramStart"/>
      <w:r w:rsidRPr="00D77B2C">
        <w:rPr>
          <w:rFonts w:ascii="Courier New" w:eastAsia="Times New Roman" w:hAnsi="Courier New" w:cs="Courier New"/>
          <w:sz w:val="20"/>
          <w:szCs w:val="20"/>
          <w:lang w:eastAsia="en-IN"/>
        </w:rPr>
        <w:t>x[</w:t>
      </w:r>
      <w:proofErr w:type="gramEnd"/>
      <w:r w:rsidRPr="00D77B2C">
        <w:rPr>
          <w:rFonts w:ascii="Courier New" w:eastAsia="Times New Roman" w:hAnsi="Courier New" w:cs="Courier New"/>
          <w:sz w:val="20"/>
          <w:szCs w:val="20"/>
          <w:lang w:eastAsia="en-IN"/>
        </w:rPr>
        <w:t xml:space="preserve">,1:3]) + </w:t>
      </w:r>
      <w:proofErr w:type="spellStart"/>
      <w:r w:rsidRPr="00D77B2C">
        <w:rPr>
          <w:rFonts w:ascii="Courier New" w:eastAsia="Times New Roman" w:hAnsi="Courier New" w:cs="Courier New"/>
          <w:sz w:val="20"/>
          <w:szCs w:val="20"/>
          <w:lang w:eastAsia="en-IN"/>
        </w:rPr>
        <w:t>rnorm</w:t>
      </w:r>
      <w:proofErr w:type="spellEnd"/>
      <w:r w:rsidRPr="00D77B2C">
        <w:rPr>
          <w:rFonts w:ascii="Courier New" w:eastAsia="Times New Roman" w:hAnsi="Courier New" w:cs="Courier New"/>
          <w:sz w:val="20"/>
          <w:szCs w:val="20"/>
          <w:lang w:eastAsia="en-IN"/>
        </w:rPr>
        <w:t>(20)</w:t>
      </w:r>
    </w:p>
    <w:p w14:paraId="1611DBA0"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77B2C">
        <w:rPr>
          <w:rFonts w:ascii="Courier New" w:eastAsia="Times New Roman" w:hAnsi="Courier New" w:cs="Courier New"/>
          <w:sz w:val="20"/>
          <w:szCs w:val="20"/>
          <w:lang w:eastAsia="en-IN"/>
        </w:rPr>
        <w:t>lmfit</w:t>
      </w:r>
      <w:proofErr w:type="spellEnd"/>
      <w:r w:rsidRPr="00D77B2C">
        <w:rPr>
          <w:rFonts w:ascii="Courier New" w:eastAsia="Times New Roman" w:hAnsi="Courier New" w:cs="Courier New"/>
          <w:sz w:val="20"/>
          <w:szCs w:val="20"/>
          <w:lang w:eastAsia="en-IN"/>
        </w:rPr>
        <w:t xml:space="preserve"> &lt;- </w:t>
      </w:r>
      <w:proofErr w:type="spellStart"/>
      <w:proofErr w:type="gramStart"/>
      <w:r w:rsidRPr="00D77B2C">
        <w:rPr>
          <w:rFonts w:ascii="Courier New" w:eastAsia="Times New Roman" w:hAnsi="Courier New" w:cs="Courier New"/>
          <w:sz w:val="20"/>
          <w:szCs w:val="20"/>
          <w:lang w:eastAsia="en-IN"/>
        </w:rPr>
        <w:t>lm</w:t>
      </w:r>
      <w:proofErr w:type="spellEnd"/>
      <w:r w:rsidRPr="00D77B2C">
        <w:rPr>
          <w:rFonts w:ascii="Courier New" w:eastAsia="Times New Roman" w:hAnsi="Courier New" w:cs="Courier New"/>
          <w:sz w:val="20"/>
          <w:szCs w:val="20"/>
          <w:lang w:eastAsia="en-IN"/>
        </w:rPr>
        <w:t>(</w:t>
      </w:r>
      <w:proofErr w:type="gramEnd"/>
      <w:r w:rsidRPr="00D77B2C">
        <w:rPr>
          <w:rFonts w:ascii="Courier New" w:eastAsia="Times New Roman" w:hAnsi="Courier New" w:cs="Courier New"/>
          <w:sz w:val="20"/>
          <w:szCs w:val="20"/>
          <w:lang w:eastAsia="en-IN"/>
        </w:rPr>
        <w:t>y ~ x)</w:t>
      </w:r>
    </w:p>
    <w:p w14:paraId="46235720"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B2C">
        <w:rPr>
          <w:rFonts w:ascii="Courier New" w:eastAsia="Times New Roman" w:hAnsi="Courier New" w:cs="Courier New"/>
          <w:sz w:val="20"/>
          <w:szCs w:val="20"/>
          <w:lang w:eastAsia="en-IN"/>
        </w:rPr>
        <w:t>summary(</w:t>
      </w:r>
      <w:proofErr w:type="spellStart"/>
      <w:r w:rsidRPr="00D77B2C">
        <w:rPr>
          <w:rFonts w:ascii="Courier New" w:eastAsia="Times New Roman" w:hAnsi="Courier New" w:cs="Courier New"/>
          <w:sz w:val="20"/>
          <w:szCs w:val="20"/>
          <w:lang w:eastAsia="en-IN"/>
        </w:rPr>
        <w:t>lmfit</w:t>
      </w:r>
      <w:proofErr w:type="spellEnd"/>
      <w:r w:rsidRPr="00D77B2C">
        <w:rPr>
          <w:rFonts w:ascii="Courier New" w:eastAsia="Times New Roman" w:hAnsi="Courier New" w:cs="Courier New"/>
          <w:sz w:val="20"/>
          <w:szCs w:val="20"/>
          <w:lang w:eastAsia="en-IN"/>
        </w:rPr>
        <w:t>)</w:t>
      </w:r>
    </w:p>
    <w:p w14:paraId="54D243D6"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7B2C">
        <w:rPr>
          <w:rFonts w:ascii="Courier New" w:eastAsia="Times New Roman" w:hAnsi="Courier New" w:cs="Courier New"/>
          <w:sz w:val="20"/>
          <w:szCs w:val="20"/>
          <w:lang w:eastAsia="en-IN"/>
        </w:rPr>
        <w:t>par(</w:t>
      </w:r>
      <w:proofErr w:type="spellStart"/>
      <w:proofErr w:type="gramEnd"/>
      <w:r w:rsidRPr="00D77B2C">
        <w:rPr>
          <w:rFonts w:ascii="Courier New" w:eastAsia="Times New Roman" w:hAnsi="Courier New" w:cs="Courier New"/>
          <w:sz w:val="20"/>
          <w:szCs w:val="20"/>
          <w:lang w:eastAsia="en-IN"/>
        </w:rPr>
        <w:t>mfrow</w:t>
      </w:r>
      <w:proofErr w:type="spellEnd"/>
      <w:r w:rsidRPr="00D77B2C">
        <w:rPr>
          <w:rFonts w:ascii="Courier New" w:eastAsia="Times New Roman" w:hAnsi="Courier New" w:cs="Courier New"/>
          <w:sz w:val="20"/>
          <w:szCs w:val="20"/>
          <w:lang w:eastAsia="en-IN"/>
        </w:rPr>
        <w:t xml:space="preserve"> = c(2, 2))</w:t>
      </w:r>
    </w:p>
    <w:p w14:paraId="21814116"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77B2C">
        <w:rPr>
          <w:rFonts w:ascii="Courier New" w:eastAsia="Times New Roman" w:hAnsi="Courier New" w:cs="Courier New"/>
          <w:sz w:val="20"/>
          <w:szCs w:val="20"/>
          <w:lang w:eastAsia="en-IN"/>
        </w:rPr>
        <w:t>plot(</w:t>
      </w:r>
      <w:proofErr w:type="spellStart"/>
      <w:r w:rsidRPr="00D77B2C">
        <w:rPr>
          <w:rFonts w:ascii="Courier New" w:eastAsia="Times New Roman" w:hAnsi="Courier New" w:cs="Courier New"/>
          <w:sz w:val="20"/>
          <w:szCs w:val="20"/>
          <w:lang w:eastAsia="en-IN"/>
        </w:rPr>
        <w:t>lmfit</w:t>
      </w:r>
      <w:proofErr w:type="spellEnd"/>
      <w:r w:rsidRPr="00D77B2C">
        <w:rPr>
          <w:rFonts w:ascii="Courier New" w:eastAsia="Times New Roman" w:hAnsi="Courier New" w:cs="Courier New"/>
          <w:sz w:val="20"/>
          <w:szCs w:val="20"/>
          <w:lang w:eastAsia="en-IN"/>
        </w:rPr>
        <w:t>)</w:t>
      </w:r>
    </w:p>
    <w:p w14:paraId="76AAA262" w14:textId="4369ABE8"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drawing>
          <wp:inline distT="0" distB="0" distL="0" distR="0" wp14:anchorId="47F4BCBF" wp14:editId="12F9C095">
            <wp:extent cx="4286250" cy="428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4286250"/>
                    </a:xfrm>
                    <a:prstGeom prst="rect">
                      <a:avLst/>
                    </a:prstGeom>
                  </pic:spPr>
                </pic:pic>
              </a:graphicData>
            </a:graphic>
          </wp:inline>
        </w:drawing>
      </w:r>
    </w:p>
    <w:p w14:paraId="0B248F0D"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D77B2C">
          <w:rPr>
            <w:rFonts w:ascii="Times New Roman" w:eastAsia="Times New Roman" w:hAnsi="Times New Roman" w:cs="Times New Roman"/>
            <w:color w:val="0000FF"/>
            <w:sz w:val="20"/>
            <w:szCs w:val="20"/>
            <w:u w:val="single"/>
            <w:lang w:eastAsia="en-IN"/>
          </w:rPr>
          <w:t>This link</w:t>
        </w:r>
      </w:hyperlink>
      <w:r w:rsidRPr="00D77B2C">
        <w:rPr>
          <w:rFonts w:ascii="Times New Roman" w:eastAsia="Times New Roman" w:hAnsi="Times New Roman" w:cs="Times New Roman"/>
          <w:sz w:val="20"/>
          <w:szCs w:val="20"/>
          <w:lang w:eastAsia="en-IN"/>
        </w:rPr>
        <w:t xml:space="preserve"> has an excellent explanation of each of these 4 plots, and I highly recommend giving it a read.</w:t>
      </w:r>
    </w:p>
    <w:p w14:paraId="1490AC88"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sz w:val="20"/>
          <w:szCs w:val="20"/>
          <w:lang w:eastAsia="en-IN"/>
        </w:rPr>
        <w:t xml:space="preserve">Most R users are familiar with these 4 plots. </w:t>
      </w:r>
      <w:r w:rsidRPr="00D77B2C">
        <w:rPr>
          <w:rFonts w:ascii="Times New Roman" w:eastAsia="Times New Roman" w:hAnsi="Times New Roman" w:cs="Times New Roman"/>
          <w:b/>
          <w:bCs/>
          <w:i/>
          <w:iCs/>
          <w:sz w:val="20"/>
          <w:szCs w:val="20"/>
          <w:lang w:eastAsia="en-IN"/>
        </w:rPr>
        <w:t>But did you know that the</w:t>
      </w:r>
      <w:r w:rsidRPr="00D77B2C">
        <w:rPr>
          <w:rFonts w:ascii="Times New Roman" w:eastAsia="Times New Roman" w:hAnsi="Times New Roman" w:cs="Times New Roman"/>
          <w:b/>
          <w:bCs/>
          <w:sz w:val="20"/>
          <w:szCs w:val="20"/>
          <w:lang w:eastAsia="en-IN"/>
        </w:rPr>
        <w:t xml:space="preserve"> </w:t>
      </w:r>
      <w:proofErr w:type="gramStart"/>
      <w:r w:rsidRPr="00D77B2C">
        <w:rPr>
          <w:rFonts w:ascii="Courier New" w:eastAsia="Times New Roman" w:hAnsi="Courier New" w:cs="Courier New"/>
          <w:b/>
          <w:bCs/>
          <w:sz w:val="20"/>
          <w:szCs w:val="20"/>
          <w:lang w:eastAsia="en-IN"/>
        </w:rPr>
        <w:t>plot(</w:t>
      </w:r>
      <w:proofErr w:type="gramEnd"/>
      <w:r w:rsidRPr="00D77B2C">
        <w:rPr>
          <w:rFonts w:ascii="Courier New" w:eastAsia="Times New Roman" w:hAnsi="Courier New" w:cs="Courier New"/>
          <w:b/>
          <w:bCs/>
          <w:sz w:val="20"/>
          <w:szCs w:val="20"/>
          <w:lang w:eastAsia="en-IN"/>
        </w:rPr>
        <w:t>)</w:t>
      </w:r>
      <w:r w:rsidRPr="00D77B2C">
        <w:rPr>
          <w:rFonts w:ascii="Times New Roman" w:eastAsia="Times New Roman" w:hAnsi="Times New Roman" w:cs="Times New Roman"/>
          <w:b/>
          <w:bCs/>
          <w:sz w:val="20"/>
          <w:szCs w:val="20"/>
          <w:lang w:eastAsia="en-IN"/>
        </w:rPr>
        <w:t xml:space="preserve"> function for </w:t>
      </w:r>
      <w:proofErr w:type="spellStart"/>
      <w:r w:rsidRPr="00D77B2C">
        <w:rPr>
          <w:rFonts w:ascii="Courier New" w:eastAsia="Times New Roman" w:hAnsi="Courier New" w:cs="Courier New"/>
          <w:b/>
          <w:bCs/>
          <w:sz w:val="20"/>
          <w:szCs w:val="20"/>
          <w:lang w:eastAsia="en-IN"/>
        </w:rPr>
        <w:t>lm</w:t>
      </w:r>
      <w:proofErr w:type="spellEnd"/>
      <w:r w:rsidRPr="00D77B2C">
        <w:rPr>
          <w:rFonts w:ascii="Times New Roman" w:eastAsia="Times New Roman" w:hAnsi="Times New Roman" w:cs="Times New Roman"/>
          <w:b/>
          <w:bCs/>
          <w:sz w:val="20"/>
          <w:szCs w:val="20"/>
          <w:lang w:eastAsia="en-IN"/>
        </w:rPr>
        <w:t xml:space="preserve"> objects can actually give you 6 plots?</w:t>
      </w:r>
      <w:r w:rsidRPr="00D77B2C">
        <w:rPr>
          <w:rFonts w:ascii="Times New Roman" w:eastAsia="Times New Roman" w:hAnsi="Times New Roman" w:cs="Times New Roman"/>
          <w:sz w:val="20"/>
          <w:szCs w:val="20"/>
          <w:lang w:eastAsia="en-IN"/>
        </w:rPr>
        <w:t xml:space="preserve"> It says so right in the documentation:</w:t>
      </w:r>
    </w:p>
    <w:p w14:paraId="0D37A9D6" w14:textId="0AC50132"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drawing>
          <wp:inline distT="0" distB="0" distL="0" distR="0" wp14:anchorId="42CB9B27" wp14:editId="180C05A8">
            <wp:extent cx="42862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1181100"/>
                    </a:xfrm>
                    <a:prstGeom prst="rect">
                      <a:avLst/>
                    </a:prstGeom>
                  </pic:spPr>
                </pic:pic>
              </a:graphicData>
            </a:graphic>
          </wp:inline>
        </w:drawing>
      </w:r>
    </w:p>
    <w:p w14:paraId="2B7B34B6"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sz w:val="20"/>
          <w:szCs w:val="20"/>
          <w:lang w:eastAsia="en-IN"/>
        </w:rPr>
        <w:t xml:space="preserve">We can specify which of the 6 plots we want when calling this function using the </w:t>
      </w:r>
      <w:r w:rsidRPr="00D77B2C">
        <w:rPr>
          <w:rFonts w:ascii="Courier New" w:eastAsia="Times New Roman" w:hAnsi="Courier New" w:cs="Courier New"/>
          <w:sz w:val="20"/>
          <w:szCs w:val="20"/>
          <w:lang w:eastAsia="en-IN"/>
        </w:rPr>
        <w:t>which</w:t>
      </w:r>
      <w:r w:rsidRPr="00D77B2C">
        <w:rPr>
          <w:rFonts w:ascii="Times New Roman" w:eastAsia="Times New Roman" w:hAnsi="Times New Roman" w:cs="Times New Roman"/>
          <w:sz w:val="20"/>
          <w:szCs w:val="20"/>
          <w:lang w:eastAsia="en-IN"/>
        </w:rPr>
        <w:t xml:space="preserve"> option. By default, we are given plots 1, 2, 3 and 5. Let’s have a look at what plots 4 and 6 are.</w:t>
      </w:r>
    </w:p>
    <w:p w14:paraId="30A1E5E9"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b/>
          <w:bCs/>
          <w:i/>
          <w:iCs/>
          <w:sz w:val="20"/>
          <w:szCs w:val="20"/>
          <w:lang w:eastAsia="en-IN"/>
        </w:rPr>
        <w:lastRenderedPageBreak/>
        <w:t xml:space="preserve">Plot 4 is of </w:t>
      </w:r>
      <w:hyperlink r:id="rId7" w:tgtFrame="_blank" w:history="1">
        <w:r w:rsidRPr="00D77B2C">
          <w:rPr>
            <w:rFonts w:ascii="Times New Roman" w:eastAsia="Times New Roman" w:hAnsi="Times New Roman" w:cs="Times New Roman"/>
            <w:b/>
            <w:bCs/>
            <w:i/>
            <w:iCs/>
            <w:color w:val="0000FF"/>
            <w:sz w:val="20"/>
            <w:szCs w:val="20"/>
            <w:u w:val="single"/>
            <w:lang w:eastAsia="en-IN"/>
          </w:rPr>
          <w:t>Cook’s distance</w:t>
        </w:r>
      </w:hyperlink>
      <w:r w:rsidRPr="00D77B2C">
        <w:rPr>
          <w:rFonts w:ascii="Times New Roman" w:eastAsia="Times New Roman" w:hAnsi="Times New Roman" w:cs="Times New Roman"/>
          <w:b/>
          <w:bCs/>
          <w:i/>
          <w:iCs/>
          <w:sz w:val="20"/>
          <w:szCs w:val="20"/>
          <w:lang w:eastAsia="en-IN"/>
        </w:rPr>
        <w:t xml:space="preserve"> vs. observation number (</w:t>
      </w:r>
      <w:proofErr w:type="gramStart"/>
      <w:r w:rsidRPr="00D77B2C">
        <w:rPr>
          <w:rFonts w:ascii="Times New Roman" w:eastAsia="Times New Roman" w:hAnsi="Times New Roman" w:cs="Times New Roman"/>
          <w:b/>
          <w:bCs/>
          <w:i/>
          <w:iCs/>
          <w:sz w:val="20"/>
          <w:szCs w:val="20"/>
          <w:lang w:eastAsia="en-IN"/>
        </w:rPr>
        <w:t>i.e.</w:t>
      </w:r>
      <w:proofErr w:type="gramEnd"/>
      <w:r w:rsidRPr="00D77B2C">
        <w:rPr>
          <w:rFonts w:ascii="Times New Roman" w:eastAsia="Times New Roman" w:hAnsi="Times New Roman" w:cs="Times New Roman"/>
          <w:b/>
          <w:bCs/>
          <w:i/>
          <w:iCs/>
          <w:sz w:val="20"/>
          <w:szCs w:val="20"/>
          <w:lang w:eastAsia="en-IN"/>
        </w:rPr>
        <w:t xml:space="preserve"> row number).</w:t>
      </w:r>
      <w:r w:rsidRPr="00D77B2C">
        <w:rPr>
          <w:rFonts w:ascii="Times New Roman" w:eastAsia="Times New Roman" w:hAnsi="Times New Roman" w:cs="Times New Roman"/>
          <w:sz w:val="20"/>
          <w:szCs w:val="20"/>
          <w:lang w:eastAsia="en-IN"/>
        </w:rPr>
        <w:t xml:space="preserve"> Cook’s distance is a measure of how influential a given observation is on the linear regression fit, with a value &gt; 1 typically indicating a highly influential point. By plotting this value against row number, we can see if highly influential points exhibit any relationship to their position in the dataset. This is useful for time series data as it can indicate if our fit is disproportionately influenced by data from a particular time period.</w:t>
      </w:r>
    </w:p>
    <w:p w14:paraId="4DFDF389"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sz w:val="20"/>
          <w:szCs w:val="20"/>
          <w:lang w:eastAsia="en-IN"/>
        </w:rPr>
        <w:t>Here is what plot 4 might look like:</w:t>
      </w:r>
    </w:p>
    <w:p w14:paraId="2274AB15"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7B2C">
        <w:rPr>
          <w:rFonts w:ascii="Courier New" w:eastAsia="Times New Roman" w:hAnsi="Courier New" w:cs="Courier New"/>
          <w:sz w:val="20"/>
          <w:szCs w:val="20"/>
          <w:lang w:eastAsia="en-IN"/>
        </w:rPr>
        <w:t>plot(</w:t>
      </w:r>
      <w:proofErr w:type="spellStart"/>
      <w:proofErr w:type="gramEnd"/>
      <w:r w:rsidRPr="00D77B2C">
        <w:rPr>
          <w:rFonts w:ascii="Courier New" w:eastAsia="Times New Roman" w:hAnsi="Courier New" w:cs="Courier New"/>
          <w:sz w:val="20"/>
          <w:szCs w:val="20"/>
          <w:lang w:eastAsia="en-IN"/>
        </w:rPr>
        <w:t>lmfit</w:t>
      </w:r>
      <w:proofErr w:type="spellEnd"/>
      <w:r w:rsidRPr="00D77B2C">
        <w:rPr>
          <w:rFonts w:ascii="Courier New" w:eastAsia="Times New Roman" w:hAnsi="Courier New" w:cs="Courier New"/>
          <w:sz w:val="20"/>
          <w:szCs w:val="20"/>
          <w:lang w:eastAsia="en-IN"/>
        </w:rPr>
        <w:t>, which = 4)</w:t>
      </w:r>
    </w:p>
    <w:p w14:paraId="70D41613" w14:textId="0ED001CF"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drawing>
          <wp:inline distT="0" distB="0" distL="0" distR="0" wp14:anchorId="5CE22436" wp14:editId="6A94066E">
            <wp:extent cx="3543300" cy="3209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43300" cy="3209925"/>
                    </a:xfrm>
                    <a:prstGeom prst="rect">
                      <a:avLst/>
                    </a:prstGeom>
                  </pic:spPr>
                </pic:pic>
              </a:graphicData>
            </a:graphic>
          </wp:inline>
        </w:drawing>
      </w:r>
    </w:p>
    <w:p w14:paraId="135FC1C1"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b/>
          <w:bCs/>
          <w:i/>
          <w:iCs/>
          <w:sz w:val="20"/>
          <w:szCs w:val="20"/>
          <w:lang w:eastAsia="en-IN"/>
        </w:rPr>
        <w:t>Plot 6 is of Cook’s distance against (</w:t>
      </w:r>
      <w:hyperlink r:id="rId9" w:tgtFrame="_blank" w:history="1">
        <w:r w:rsidRPr="00D77B2C">
          <w:rPr>
            <w:rFonts w:ascii="Times New Roman" w:eastAsia="Times New Roman" w:hAnsi="Times New Roman" w:cs="Times New Roman"/>
            <w:b/>
            <w:bCs/>
            <w:i/>
            <w:iCs/>
            <w:color w:val="0000FF"/>
            <w:sz w:val="20"/>
            <w:szCs w:val="20"/>
            <w:u w:val="single"/>
            <w:lang w:eastAsia="en-IN"/>
          </w:rPr>
          <w:t>leverage</w:t>
        </w:r>
      </w:hyperlink>
      <w:r w:rsidRPr="00D77B2C">
        <w:rPr>
          <w:rFonts w:ascii="Times New Roman" w:eastAsia="Times New Roman" w:hAnsi="Times New Roman" w:cs="Times New Roman"/>
          <w:b/>
          <w:bCs/>
          <w:i/>
          <w:iCs/>
          <w:sz w:val="20"/>
          <w:szCs w:val="20"/>
          <w:lang w:eastAsia="en-IN"/>
        </w:rPr>
        <w:t>)</w:t>
      </w:r>
      <w:proofErr w:type="gramStart"/>
      <w:r w:rsidRPr="00D77B2C">
        <w:rPr>
          <w:rFonts w:ascii="Times New Roman" w:eastAsia="Times New Roman" w:hAnsi="Times New Roman" w:cs="Times New Roman"/>
          <w:b/>
          <w:bCs/>
          <w:i/>
          <w:iCs/>
          <w:sz w:val="20"/>
          <w:szCs w:val="20"/>
          <w:lang w:eastAsia="en-IN"/>
        </w:rPr>
        <w:t>/(</w:t>
      </w:r>
      <w:proofErr w:type="gramEnd"/>
      <w:r w:rsidRPr="00D77B2C">
        <w:rPr>
          <w:rFonts w:ascii="Times New Roman" w:eastAsia="Times New Roman" w:hAnsi="Times New Roman" w:cs="Times New Roman"/>
          <w:b/>
          <w:bCs/>
          <w:i/>
          <w:iCs/>
          <w:sz w:val="20"/>
          <w:szCs w:val="20"/>
          <w:lang w:eastAsia="en-IN"/>
        </w:rPr>
        <w:t>1 – leverage).</w:t>
      </w:r>
      <w:r w:rsidRPr="00D77B2C">
        <w:rPr>
          <w:rFonts w:ascii="Times New Roman" w:eastAsia="Times New Roman" w:hAnsi="Times New Roman" w:cs="Times New Roman"/>
          <w:sz w:val="20"/>
          <w:szCs w:val="20"/>
          <w:lang w:eastAsia="en-IN"/>
        </w:rPr>
        <w:t xml:space="preserve"> An observation’s leverage must fall in the </w:t>
      </w:r>
      <w:proofErr w:type="gramStart"/>
      <w:r w:rsidRPr="00D77B2C">
        <w:rPr>
          <w:rFonts w:ascii="Times New Roman" w:eastAsia="Times New Roman" w:hAnsi="Times New Roman" w:cs="Times New Roman"/>
          <w:sz w:val="20"/>
          <w:szCs w:val="20"/>
          <w:lang w:eastAsia="en-IN"/>
        </w:rPr>
        <w:t>interval ,</w:t>
      </w:r>
      <w:proofErr w:type="gramEnd"/>
      <w:r w:rsidRPr="00D77B2C">
        <w:rPr>
          <w:rFonts w:ascii="Times New Roman" w:eastAsia="Times New Roman" w:hAnsi="Times New Roman" w:cs="Times New Roman"/>
          <w:sz w:val="20"/>
          <w:szCs w:val="20"/>
          <w:lang w:eastAsia="en-IN"/>
        </w:rPr>
        <w:t xml:space="preserve"> so plotting against (leverage)/(1 – leverage) allows the x-axis to span the whole positive real line. The contours on the plot represent points where the absolute value of the standardized residual is the same. On this plot they happen to be straight lines; the documentation says so as well but I haven’t had time to check it mathematically.</w:t>
      </w:r>
    </w:p>
    <w:p w14:paraId="5B98BD7D"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sz w:val="20"/>
          <w:szCs w:val="20"/>
          <w:lang w:eastAsia="en-IN"/>
        </w:rPr>
        <w:t>Here is what plot 6 might look like:</w:t>
      </w:r>
    </w:p>
    <w:p w14:paraId="0DAA3CFB" w14:textId="77777777" w:rsidR="00D77B2C" w:rsidRPr="00D77B2C" w:rsidRDefault="00D77B2C" w:rsidP="00D7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77B2C">
        <w:rPr>
          <w:rFonts w:ascii="Courier New" w:eastAsia="Times New Roman" w:hAnsi="Courier New" w:cs="Courier New"/>
          <w:sz w:val="20"/>
          <w:szCs w:val="20"/>
          <w:lang w:eastAsia="en-IN"/>
        </w:rPr>
        <w:t>plot(</w:t>
      </w:r>
      <w:proofErr w:type="spellStart"/>
      <w:proofErr w:type="gramEnd"/>
      <w:r w:rsidRPr="00D77B2C">
        <w:rPr>
          <w:rFonts w:ascii="Courier New" w:eastAsia="Times New Roman" w:hAnsi="Courier New" w:cs="Courier New"/>
          <w:sz w:val="20"/>
          <w:szCs w:val="20"/>
          <w:lang w:eastAsia="en-IN"/>
        </w:rPr>
        <w:t>lmfit</w:t>
      </w:r>
      <w:proofErr w:type="spellEnd"/>
      <w:r w:rsidRPr="00D77B2C">
        <w:rPr>
          <w:rFonts w:ascii="Courier New" w:eastAsia="Times New Roman" w:hAnsi="Courier New" w:cs="Courier New"/>
          <w:sz w:val="20"/>
          <w:szCs w:val="20"/>
          <w:lang w:eastAsia="en-IN"/>
        </w:rPr>
        <w:t>, which = 6)</w:t>
      </w:r>
    </w:p>
    <w:p w14:paraId="56F2111F" w14:textId="3ECEDC49"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lastRenderedPageBreak/>
        <w:drawing>
          <wp:inline distT="0" distB="0" distL="0" distR="0" wp14:anchorId="20E5A7F9" wp14:editId="2569D1ED">
            <wp:extent cx="3543300" cy="3209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3209925"/>
                    </a:xfrm>
                    <a:prstGeom prst="rect">
                      <a:avLst/>
                    </a:prstGeom>
                  </pic:spPr>
                </pic:pic>
              </a:graphicData>
            </a:graphic>
          </wp:inline>
        </w:drawing>
      </w:r>
    </w:p>
    <w:p w14:paraId="1F87A4FC" w14:textId="77777777" w:rsidR="00D77B2C" w:rsidRPr="00D77B2C" w:rsidRDefault="00D77B2C" w:rsidP="00D77B2C">
      <w:pPr>
        <w:spacing w:before="100" w:beforeAutospacing="1" w:after="100" w:afterAutospacing="1" w:line="240" w:lineRule="auto"/>
        <w:rPr>
          <w:rFonts w:ascii="Times New Roman" w:eastAsia="Times New Roman" w:hAnsi="Times New Roman" w:cs="Times New Roman"/>
          <w:sz w:val="20"/>
          <w:szCs w:val="20"/>
          <w:lang w:eastAsia="en-IN"/>
        </w:rPr>
      </w:pPr>
      <w:r w:rsidRPr="00D77B2C">
        <w:rPr>
          <w:rFonts w:ascii="Times New Roman" w:eastAsia="Times New Roman" w:hAnsi="Times New Roman" w:cs="Times New Roman"/>
          <w:sz w:val="20"/>
          <w:szCs w:val="20"/>
          <w:lang w:eastAsia="en-IN"/>
        </w:rPr>
        <w:t xml:space="preserve">I’m not too sure how one should interpret this plot. As far as I know, one should take extra notice of points with high leverage and/or high Cook’s distance. </w:t>
      </w:r>
      <w:proofErr w:type="gramStart"/>
      <w:r w:rsidRPr="00D77B2C">
        <w:rPr>
          <w:rFonts w:ascii="Times New Roman" w:eastAsia="Times New Roman" w:hAnsi="Times New Roman" w:cs="Times New Roman"/>
          <w:sz w:val="20"/>
          <w:szCs w:val="20"/>
          <w:lang w:eastAsia="en-IN"/>
        </w:rPr>
        <w:t>So</w:t>
      </w:r>
      <w:proofErr w:type="gramEnd"/>
      <w:r w:rsidRPr="00D77B2C">
        <w:rPr>
          <w:rFonts w:ascii="Times New Roman" w:eastAsia="Times New Roman" w:hAnsi="Times New Roman" w:cs="Times New Roman"/>
          <w:sz w:val="20"/>
          <w:szCs w:val="20"/>
          <w:lang w:eastAsia="en-IN"/>
        </w:rPr>
        <w:t xml:space="preserve"> any observation in the top-left, top-right or bottom-right corner should be taken note of. If anyone knows of a better way to interpret this plot, let me know!</w:t>
      </w:r>
    </w:p>
    <w:p w14:paraId="2C0CA39D" w14:textId="77777777" w:rsidR="006F7832" w:rsidRDefault="006F7832"/>
    <w:sectPr w:rsidR="006F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2C"/>
    <w:rsid w:val="006F7832"/>
    <w:rsid w:val="00D77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BFBB8"/>
  <w15:chartTrackingRefBased/>
  <w15:docId w15:val="{153889D1-A454-4895-A464-910A84FF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33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en.wikipedia.org/wiki/Cook%27s_distanc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s://data.library.virginia.edu/diagnostic-plots/" TargetMode="External"/><Relationship Id="rId10" Type="http://schemas.openxmlformats.org/officeDocument/2006/relationships/image" Target="media/image4.png"/><Relationship Id="rId4" Type="http://schemas.openxmlformats.org/officeDocument/2006/relationships/image" Target="media/image1.png"/><Relationship Id="rId9" Type="http://schemas.openxmlformats.org/officeDocument/2006/relationships/hyperlink" Target="https://en.wikipedia.org/wiki/Leverage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356</Words>
  <Characters>2035</Characters>
  <Application>Microsoft Office Word</Application>
  <DocSecurity>0</DocSecurity>
  <Lines>16</Lines>
  <Paragraphs>4</Paragraphs>
  <ScaleCrop>false</ScaleCrop>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2021-10-25T06:03:00Z</dcterms:created>
  <dcterms:modified xsi:type="dcterms:W3CDTF">2021-10-25T06:06:00Z</dcterms:modified>
</cp:coreProperties>
</file>