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76</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5.0.0</w:t>
      </w:r>
    </w:p>
    <w:p>
      <w:pPr>
        <w:spacing w:after="120"/>
      </w:pPr>
      <w:r>
        <w:rPr>
          <w:rFonts w:ascii="Garamond" w:hAnsi="Garamond"/>
          <w:sz w:val="24"/>
        </w:rPr>
        <w:t>Released on XXX, 2017</w:t>
      </w:r>
    </w:p>
    <w:p>
      <w:pPr>
        <w:pStyle w:val="4"/>
      </w:pPr>
      <w:r>
        <w:rPr>
          <w:rFonts w:ascii="Garamond" w:hAnsi="Garamond"/>
          <w:sz w:val="24"/>
        </w:rPr>
        <w:t>VSAC Integration</w:t>
      </w:r>
    </w:p>
    <w:p>
      <w:r>
        <w:rPr>
          <w:rFonts w:ascii="Garamond" w:hAnsi="Garamond"/>
          <w:sz w:val="24"/>
        </w:rPr>
        <w:t>Trifolia has integrated with VSAC to allow importing value sets from the VSAC. A new button is available to users in Browse &gt; Terminology which allows the user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3"/>
        </w:numPr>
      </w:pPr>
      <w:r/>
      <w:r>
        <w:rPr>
          <w:rFonts w:ascii="Garamond" w:hAnsi="Garamond"/>
          <w:sz w:val="24"/>
        </w:rPr>
        <w:t>A more consistent UI across the various export formats</w:t>
      </w:r>
    </w:p>
    <w:p>
      <w:pPr>
        <w:numPr>
          <w:ilvl w:val="0"/>
          <w:numId w:val="3"/>
        </w:numPr>
      </w:pPr>
      <w:r/>
      <w:r>
        <w:rPr>
          <w:rFonts w:ascii="Garamond" w:hAnsi="Garamond"/>
          <w:sz w:val="24"/>
        </w:rPr>
        <w:t>Allows saving default settings (if permitted by implementation guide permissions)</w:t>
      </w:r>
    </w:p>
    <w:p>
      <w:pPr>
        <w:numPr>
          <w:ilvl w:val="0"/>
          <w:numId w:val="3"/>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TODO</w:t>
            </w:r>
          </w:p>
        </w:tc>
        <w:tc>
          <w:p>
            <w:r>
              <w:rPr>
                <w:rFonts w:ascii="Calibri" w:hAnsi="Calibri"/>
                <w:sz w:val="22"/>
                <w:color w:val="000000"/>
              </w:rPr>
              <w:t>TODO</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Tutorials"/>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105" w:after="105"/>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16" w:name="vsac_credentials"/>
      <w:bookmarkEnd w:id="16"/>
      <w:r>
        <w:t>VSAC/UMLS Credentials</w:t>
      </w:r>
    </w:p>
    <w:p>
      <w:r>
        <w:t>VSAC requires that you have a license to UMLS to import value sets from VSAC and to export implementation guides that contain VSAC content.</w:t>
      </w:r>
    </w:p>
    <w:p>
      <w:r>
        <w:t xml:space="preserve">To register for a VSAC/UMLS license, </w:t>
      </w:r>
      <w:hyperlink r:id="hrId7"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Security"/>
      <w:bookmarkEnd w:id="17"/>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Roles"/>
      <w:bookmarkEnd w:id="18"/>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Permissions"/>
      <w:bookmarkEnd w:id="19"/>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20" w:name="request_access"/>
      <w:bookmarkEnd w:id="20"/>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Groups"/>
      <w:bookmarkEnd w:id="21"/>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6" w:name="view_value_set"/>
      <w:bookmarkEnd w:id="26"/>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1" w:name="_topic_Exporting"/>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7" w:name="_topic_Importing"/>
      <w:bookmarkEnd w:id="6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8"/>
        </w:numPr>
      </w:pPr>
      <w:r/>
      <w:r>
        <w:t>Primitive Constraint Narrative</w:t>
      </w:r>
    </w:p>
    <w:p>
      <w:pPr>
        <w:numPr>
          <w:ilvl w:val="0"/>
          <w:numId w:val="88"/>
        </w:numPr>
      </w:pPr>
      <w:r/>
      <w:r>
        <w:t>Constraint Description</w:t>
      </w:r>
    </w:p>
    <w:p>
      <w:pPr>
        <w:numPr>
          <w:ilvl w:val="0"/>
          <w:numId w:val="88"/>
        </w:numPr>
      </w:pPr>
      <w:r/>
      <w:r>
        <w:t>Constraint Heading Description</w:t>
      </w:r>
    </w:p>
    <w:p>
      <w:pPr>
        <w:numPr>
          <w:ilvl w:val="0"/>
          <w:numId w:val="88"/>
        </w:numPr>
      </w:pPr>
      <w:r/>
      <w:r>
        <w:t>Template Description</w:t>
      </w:r>
    </w:p>
    <w:p>
      <w:pPr>
        <w:numPr>
          <w:ilvl w:val="0"/>
          <w:numId w:val="88"/>
        </w:numPr>
      </w:pPr>
      <w:r/>
      <w:r>
        <w:t>Template Note</w:t>
      </w:r>
    </w:p>
    <w:p>
      <w:pPr>
        <w:numPr>
          <w:ilvl w:val="0"/>
          <w:numId w:val="88"/>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79" w:name="_topic_PreviousVersions"/>
      <w:bookmarkEnd w:id="7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60"/>
      <w:bookmarkEnd w:id="80"/>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50"/>
      <w:bookmarkEnd w:id="81"/>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40"/>
      <w:bookmarkEnd w:id="82"/>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31"/>
      <w:bookmarkEnd w:id="83"/>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30"/>
      <w:bookmarkEnd w:id="84"/>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4"/>
        </w:numPr>
      </w:pPr>
      <w:r/>
      <w:r>
        <w:rPr>
          <w:rFonts w:ascii="Garamond" w:hAnsi="Garamond"/>
          <w:sz w:val="24"/>
        </w:rPr>
        <w:t>SHALL contain 1..1 effective[x], where effective[x] is one of:</w:t>
      </w:r>
    </w:p>
    <w:p>
      <w:pPr>
        <w:numPr>
          <w:ilvl w:val="1"/>
          <w:numId w:val="94"/>
        </w:numPr>
      </w:pPr>
      <w:r/>
      <w:r>
        <w:rPr>
          <w:rFonts w:ascii="Garamond" w:hAnsi="Garamond"/>
          <w:sz w:val="24"/>
        </w:rPr>
        <w:t>effectiveDateTime</w:t>
      </w:r>
    </w:p>
    <w:p>
      <w:pPr>
        <w:numPr>
          <w:ilvl w:val="1"/>
          <w:numId w:val="94"/>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4"/>
        </w:numPr>
      </w:pPr>
      <w:r/>
      <w:r>
        <w:rPr>
          <w:rFonts w:ascii="Garamond" w:hAnsi="Garamond"/>
          <w:sz w:val="24"/>
        </w:rPr>
        <w:t>Template/Profile samples are added to the control file</w:t>
      </w:r>
    </w:p>
    <w:p>
      <w:pPr>
        <w:numPr>
          <w:ilvl w:val="0"/>
          <w:numId w:val="94"/>
        </w:numPr>
      </w:pPr>
      <w:r/>
      <w:r>
        <w:rPr>
          <w:rFonts w:ascii="Garamond" w:hAnsi="Garamond"/>
          <w:sz w:val="24"/>
        </w:rPr>
        <w:t>"sct-edition" property is added to the control file, and defaulted to the US edition</w:t>
      </w:r>
    </w:p>
    <w:p>
      <w:pPr>
        <w:numPr>
          <w:ilvl w:val="0"/>
          <w:numId w:val="94"/>
        </w:numPr>
      </w:pPr>
      <w:r/>
      <w:r>
        <w:rPr>
          <w:rFonts w:ascii="Garamond" w:hAnsi="Garamond"/>
          <w:sz w:val="24"/>
        </w:rPr>
        <w:t>The url for the ImplementationGuide resource includes the base identifier</w:t>
      </w:r>
    </w:p>
    <w:p>
      <w:pPr>
        <w:numPr>
          <w:ilvl w:val="0"/>
          <w:numId w:val="94"/>
        </w:numPr>
      </w:pPr>
      <w:r/>
      <w:r>
        <w:rPr>
          <w:rFonts w:ascii="Garamond" w:hAnsi="Garamond"/>
          <w:sz w:val="24"/>
        </w:rPr>
        <w:t>Invalid UTF-8 characters are automatically removed from the description</w:t>
      </w:r>
    </w:p>
    <w:p>
      <w:pPr>
        <w:numPr>
          <w:ilvl w:val="0"/>
          <w:numId w:val="94"/>
        </w:numPr>
      </w:pPr>
      <w:r/>
      <w:r>
        <w:rPr>
          <w:rFonts w:ascii="Garamond" w:hAnsi="Garamond"/>
          <w:sz w:val="24"/>
        </w:rPr>
        <w:t>The "resources.html" include file is auto-generated by Trifolia, and includes profile descriptions</w:t>
      </w:r>
    </w:p>
    <w:p>
      <w:pPr>
        <w:numPr>
          <w:ilvl w:val="0"/>
          <w:numId w:val="94"/>
        </w:numPr>
      </w:pPr>
      <w:r/>
      <w:r>
        <w:rPr>
          <w:rFonts w:ascii="Garamond" w:hAnsi="Garamond"/>
          <w:sz w:val="24"/>
        </w:rPr>
        <w:t>StructureDefinition exports are modified to support schema choices</w:t>
      </w:r>
    </w:p>
    <w:p>
      <w:pPr>
        <w:numPr>
          <w:ilvl w:val="0"/>
          <w:numId w:val="94"/>
        </w:numPr>
      </w:pPr>
      <w:r/>
      <w:r>
        <w:rPr>
          <w:rFonts w:ascii="Garamond" w:hAnsi="Garamond"/>
          <w:sz w:val="24"/>
        </w:rPr>
        <w:t>The fhir-net-api is updated based on the ft-connectathon2017 branch which includes the latest updates</w:t>
      </w:r>
    </w:p>
    <w:p>
      <w:pPr>
        <w:numPr>
          <w:ilvl w:val="1"/>
          <w:numId w:val="94"/>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2x"/>
      <w:bookmarkEnd w:id="85"/>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20"/>
      <w:bookmarkEnd w:id="86"/>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5"/>
        </w:numPr>
      </w:pPr>
      <w:r/>
      <w:r>
        <w:rPr>
          <w:rFonts w:ascii="Garamond" w:hAnsi="Garamond"/>
          <w:sz w:val="24"/>
        </w:rPr>
        <w:t xml:space="preserve">    JIRA, when JIRA is configured and enabled</w:t>
      </w:r>
    </w:p>
    <w:p>
      <w:pPr>
        <w:numPr>
          <w:ilvl w:val="0"/>
          <w:numId w:val="95"/>
        </w:numPr>
      </w:pPr>
      <w:r/>
      <w:r>
        <w:rPr>
          <w:rFonts w:ascii="Garamond" w:hAnsi="Garamond"/>
          <w:sz w:val="24"/>
        </w:rPr>
        <w:t xml:space="preserve">    Email, when a support email address is specified</w:t>
      </w:r>
    </w:p>
    <w:p>
      <w:pPr>
        <w:numPr>
          <w:ilvl w:val="0"/>
          <w:numId w:val="95"/>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4" target="_blank">
        <w:r>
          <w:rPr>
            <w:rStyle w:val="c13"/>
            <w:rFonts w:ascii="Garamond" w:hAnsi="Garamond"/>
            <w:sz w:val="24"/>
          </w:rPr>
          <w:t>https://trifolia.lantanagroup.com</w:t>
        </w:r>
      </w:hyperlink>
      <w:r>
        <w:rPr>
          <w:rFonts w:ascii="Garamond" w:hAnsi="Garamond"/>
          <w:sz w:val="24"/>
        </w:rPr>
        <w:t xml:space="preserve">) re-directs all users to the </w:t>
      </w:r>
      <w:hyperlink r:id="hrId15"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10"/>
      <w:bookmarkEnd w:id="87"/>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00"/>
      <w:bookmarkEnd w:id="88"/>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6">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300"/>
      <w:bookmarkEnd w:id="89"/>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6"/>
        </w:numPr>
      </w:pPr>
      <w:r/>
      <w:r>
        <w:t>Bug fixes in the FHIR DSTU2 REST API</w:t>
      </w:r>
    </w:p>
    <w:p>
      <w:pPr>
        <w:numPr>
          <w:ilvl w:val="0"/>
          <w:numId w:val="96"/>
        </w:numPr>
      </w:pPr>
      <w:r/>
      <w:r>
        <w:t>Improvements to content-type and _format support in the REST API</w:t>
      </w:r>
    </w:p>
    <w:p>
      <w:pPr>
        <w:numPr>
          <w:ilvl w:val="0"/>
          <w:numId w:val="96"/>
        </w:numPr>
      </w:pPr>
      <w:r/>
      <w:r>
        <w:t>Profile editor enhancements for re-usable extensions</w:t>
      </w:r>
    </w:p>
    <w:p>
      <w:pPr>
        <w:numPr>
          <w:ilvl w:val="0"/>
          <w:numId w:val="96"/>
        </w:numPr>
      </w:pPr>
      <w:r/>
      <w:r>
        <w:t>Extensions supported directly on a profile</w:t>
      </w:r>
    </w:p>
    <w:p>
      <w:pPr>
        <w:numPr>
          <w:ilvl w:val="0"/>
          <w:numId w:val="96"/>
        </w:numPr>
      </w:pPr>
      <w:r/>
      <w:r>
        <w:t>Viewing a profile shows the JSON and XML representation of the profile</w:t>
      </w:r>
    </w:p>
    <w:p>
      <w:pPr>
        <w:numPr>
          <w:ilvl w:val="0"/>
          <w:numId w:val="96"/>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7"/>
        </w:numPr>
      </w:pPr>
      <w:r/>
      <w:r>
        <w:t>A separate screen to view value sets so that larger value sets do not slow down the process of browsing/searching value sets</w:t>
      </w:r>
    </w:p>
    <w:p>
      <w:pPr>
        <w:numPr>
          <w:ilvl w:val="0"/>
          <w:numId w:val="97"/>
        </w:numPr>
      </w:pPr>
      <w:r/>
      <w:r>
        <w:t xml:space="preserve">Viewing a value set includes information about where the value set is used within Trifolia (i.e., which template/profile) </w:t>
      </w:r>
    </w:p>
    <w:p>
      <w:pPr>
        <w:numPr>
          <w:ilvl w:val="0"/>
          <w:numId w:val="97"/>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90"/>
      <w:bookmarkEnd w:id="90"/>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8"/>
        </w:numPr>
      </w:pPr>
      <w:r/>
      <w:r>
        <w:t>An overview section that shows either the HTML or well-defined sections associated with the implementation guide</w:t>
      </w:r>
    </w:p>
    <w:p>
      <w:pPr>
        <w:numPr>
          <w:ilvl w:val="0"/>
          <w:numId w:val="98"/>
        </w:numPr>
      </w:pPr>
      <w:r/>
      <w:r>
        <w:t>The templates section contains both an filtered alphabetical list and a hierarchy view of templates</w:t>
      </w:r>
    </w:p>
    <w:p>
      <w:pPr>
        <w:numPr>
          <w:ilvl w:val="0"/>
          <w:numId w:val="98"/>
        </w:numPr>
      </w:pPr>
      <w:r/>
      <w:r>
        <w:t>Viewing a template/profile displays the following information</w:t>
      </w:r>
    </w:p>
    <w:p>
      <w:pPr>
        <w:numPr>
          <w:ilvl w:val="1"/>
          <w:numId w:val="98"/>
        </w:numPr>
      </w:pPr>
      <w:r/>
      <w:r>
        <w:t>UML Relationship Diagram</w:t>
      </w:r>
    </w:p>
    <w:p>
      <w:pPr>
        <w:numPr>
          <w:ilvl w:val="1"/>
          <w:numId w:val="98"/>
        </w:numPr>
      </w:pPr>
      <w:r/>
      <w:r>
        <w:t>Relationships</w:t>
      </w:r>
    </w:p>
    <w:p>
      <w:pPr>
        <w:numPr>
          <w:ilvl w:val="1"/>
          <w:numId w:val="98"/>
        </w:numPr>
      </w:pPr>
      <w:r/>
      <w:r>
        <w:t>Constraints Table</w:t>
      </w:r>
    </w:p>
    <w:p>
      <w:pPr>
        <w:numPr>
          <w:ilvl w:val="1"/>
          <w:numId w:val="98"/>
        </w:numPr>
      </w:pPr>
      <w:r/>
      <w:r>
        <w:t>Narrative Constraints</w:t>
      </w:r>
    </w:p>
    <w:p>
      <w:pPr>
        <w:numPr>
          <w:ilvl w:val="1"/>
          <w:numId w:val="98"/>
        </w:numPr>
      </w:pPr>
      <w:r/>
      <w:r>
        <w:t>Samples (if any)</w:t>
      </w:r>
    </w:p>
    <w:p>
      <w:pPr>
        <w:numPr>
          <w:ilvl w:val="1"/>
          <w:numId w:val="98"/>
        </w:numPr>
      </w:pPr>
      <w:r/>
      <w:r>
        <w:t>Value Sets (if any)</w:t>
      </w:r>
    </w:p>
    <w:p>
      <w:pPr>
        <w:numPr>
          <w:ilvl w:val="0"/>
          <w:numId w:val="98"/>
        </w:numPr>
      </w:pPr>
      <w:r/>
      <w:r>
        <w:t>An appendix section of all value sets used by the implementation guide</w:t>
      </w:r>
    </w:p>
    <w:p>
      <w:pPr>
        <w:numPr>
          <w:ilvl w:val="0"/>
          <w:numId w:val="98"/>
        </w:numPr>
      </w:pPr>
      <w:r/>
      <w:r>
        <w:t>An appendix section of all code systems used by the implementation guide</w:t>
      </w:r>
    </w:p>
    <w:p>
      <w:pPr>
        <w:numPr>
          <w:ilvl w:val="0"/>
          <w:numId w:val="98"/>
        </w:numPr>
      </w:pPr>
      <w:r/>
      <w:r>
        <w:t>Options for the web-based IG allow the user to change the template/profile display mode from "Paneled" to "Tabbed" mode, where each of the major sections of data are shown in tabs instead of vertical panels</w:t>
      </w:r>
    </w:p>
    <w:p>
      <w:pPr>
        <w:numPr>
          <w:ilvl w:val="0"/>
          <w:numId w:val="98"/>
        </w:numPr>
      </w:pPr>
      <w:r/>
      <w:r>
        <w:t>Breadcrumbs are always displayed showing a chronological history of how you got to the page you are viewing</w:t>
      </w:r>
    </w:p>
    <w:p>
      <w:pPr>
        <w:numPr>
          <w:ilvl w:val="0"/>
          <w:numId w:val="98"/>
        </w:numPr>
      </w:pPr>
      <w:r/>
      <w:r>
        <w:t>The web-based IG can always be downloaded for viewing offline</w:t>
      </w:r>
    </w:p>
    <w:p>
      <w:pPr>
        <w:numPr>
          <w:ilvl w:val="0"/>
          <w:numId w:val="98"/>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70"/>
      <w:bookmarkEnd w:id="91"/>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60"/>
      <w:bookmarkEnd w:id="92"/>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50"/>
      <w:bookmarkEnd w:id="93"/>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9"/>
        </w:numPr>
      </w:pPr>
      <w:r/>
      <w:r>
        <w:t>OID: “oid:2.17.840.113883…”</w:t>
      </w:r>
    </w:p>
    <w:p>
      <w:pPr>
        <w:spacing w:after="120" w:lineRule="exact" w:line="255"/>
        <w:numPr>
          <w:ilvl w:val="0"/>
          <w:numId w:val="99"/>
        </w:numPr>
      </w:pPr>
      <w:r/>
      <w:r>
        <w:t>II: “urn:hl7ii:ROOT:EXTENSION”</w:t>
      </w:r>
    </w:p>
    <w:p>
      <w:pPr>
        <w:spacing w:after="120" w:lineRule="exact" w:line="255"/>
        <w:numPr>
          <w:ilvl w:val="0"/>
          <w:numId w:val="99"/>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40"/>
      <w:bookmarkEnd w:id="94"/>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20"/>
      <w:bookmarkEnd w:id="95"/>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1"/>
        </w:numPr>
      </w:pPr>
      <w:r/>
      <w:r>
        <w:t>Search</w:t>
      </w:r>
    </w:p>
    <w:p>
      <w:pPr>
        <w:numPr>
          <w:ilvl w:val="0"/>
          <w:numId w:val="101"/>
        </w:numPr>
      </w:pPr>
      <w:r/>
      <w:r>
        <w:t>Select &amp; Confirm</w:t>
      </w:r>
    </w:p>
    <w:p>
      <w:pPr>
        <w:numPr>
          <w:ilvl w:val="0"/>
          <w:numId w:val="101"/>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0"/>
        </w:numPr>
      </w:pPr>
      <w:r/>
      <w:r>
        <w:t xml:space="preserve">Styling </w:t>
      </w:r>
    </w:p>
    <w:p>
      <w:pPr>
        <w:numPr>
          <w:ilvl w:val="0"/>
          <w:numId w:val="100"/>
        </w:numPr>
      </w:pPr>
      <w:r/>
      <w:r>
        <w:t>Sample indenting</w:t>
      </w:r>
    </w:p>
    <w:p>
      <w:pPr>
        <w:numPr>
          <w:ilvl w:val="0"/>
          <w:numId w:val="100"/>
        </w:numPr>
      </w:pPr>
      <w:r/>
      <w:r>
        <w:t>Code System OID column in value set table</w:t>
      </w:r>
    </w:p>
    <w:p>
      <w:pPr>
        <w:numPr>
          <w:ilvl w:val="0"/>
          <w:numId w:val="100"/>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00"/>
      <w:bookmarkEnd w:id="96"/>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7">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s://uts.nlm.nih.gov/license.html"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s://trifolia.lantanagroup.com" TargetMode="External"/><Relationship Id="hrId15" Type="http://schemas.openxmlformats.org/officeDocument/2006/relationships/hyperlink" Target="https://github.com/lantanagroup/trifolia/issues" TargetMode="External"/><Relationship Id="hrId16" Type="http://schemas.openxmlformats.org/officeDocument/2006/relationships/hyperlink" Target="https://github.com/lantanagroup/trifolia" TargetMode="External"/><Relationship Id="hrId17" Type="http://schemas.openxmlformats.org/officeDocument/2006/relationships/hyperlink" Target="https://jira.lantanagroup.com/browse/TRIF-607" TargetMode="External"/><Relationship Id="hrId18" Type="http://schemas.openxmlformats.org/officeDocument/2006/relationships/hyperlink" Target="https://jira.lantanagroup.com/browse/TRIF-594" TargetMode="External"/><Relationship Id="hrId19" Type="http://schemas.openxmlformats.org/officeDocument/2006/relationships/hyperlink" Target="https://jira.lantanagroup.com/browse/TRIF-588" TargetMode="External"/><Relationship Id="hrId20" Type="http://schemas.openxmlformats.org/officeDocument/2006/relationships/hyperlink" Target="https://jira.lantanagroup.com/browse/TRIF-81" TargetMode="External"/><Relationship Id="hrId21" Type="http://schemas.openxmlformats.org/officeDocument/2006/relationships/hyperlink" Target="https://jira.lantanagroup.com/browse/TRIF-599" TargetMode="External"/><Relationship Id="hrId22" Type="http://schemas.openxmlformats.org/officeDocument/2006/relationships/hyperlink" Target="https://jira.lantanagroup.com/browse/TRIF-598" TargetMode="External"/><Relationship Id="hrId23" Type="http://schemas.openxmlformats.org/officeDocument/2006/relationships/hyperlink" Target="https://jira.lantanagroup.com/browse/TRIF-591" TargetMode="External"/><Relationship Id="hrId24" Type="http://schemas.openxmlformats.org/officeDocument/2006/relationships/hyperlink" Target="https://jira.lantanagroup.com/browse/TRIF-590" TargetMode="External"/><Relationship Id="hrId25" Type="http://schemas.openxmlformats.org/officeDocument/2006/relationships/hyperlink" Target="https://jira.lantanagroup.com/browse/TRIF-589" TargetMode="External"/><Relationship Id="hrId26"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