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2" w:lineRule="auto"/>
        <w:ind w:right="358"/>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CONTRATO PRIVADO DE ARRAS PENITENCIALES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Ribarroja de Túria , a  </w:t>
      </w:r>
      <w:r w:rsidDel="00000000" w:rsidR="00000000" w:rsidRPr="00000000">
        <w:rPr>
          <w:rtl w:val="0"/>
        </w:rPr>
        <w:t xml:space="preserve">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tl w:val="0"/>
        </w:rPr>
        <w:t xml:space="preserve">Marzo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ind w:right="358" w:firstLine="1"/>
        <w:jc w:val="center"/>
        <w:rPr>
          <w:rFonts w:ascii="Calibri" w:cs="Calibri" w:eastAsia="Calibri" w:hAnsi="Calibri"/>
        </w:rPr>
      </w:pPr>
      <w:r w:rsidDel="00000000" w:rsidR="00000000" w:rsidRPr="00000000">
        <w:rPr>
          <w:rFonts w:ascii="Calibri" w:cs="Calibri" w:eastAsia="Calibri" w:hAnsi="Calibri"/>
          <w:rtl w:val="0"/>
        </w:rPr>
        <w:t xml:space="preserve">REUNIDOS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3" w:right="372" w:firstLine="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 una parte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mercantil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FORTIN CONSTRUCCIONES Y PATRIMONIO SL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CIF B22792923, domicilio social en Ribarroja de Túria, C/ Eresma nº 18, inscrita en el Registro Mercantil de V</w:t>
      </w:r>
      <w:r w:rsidDel="00000000" w:rsidR="00000000" w:rsidRPr="00000000">
        <w:rPr>
          <w:rtl w:val="0"/>
        </w:rPr>
        <w:t xml:space="preserve">alencia, En el asiento 19906 del diario 2025, inscripción primera Hoja V-227512 IRUS 1000455276373, folio electrónico,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representada en este acto por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 Uriel Nabel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mayor de edad, con NIE Y8001376N, en su condición de Administrador único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poderes suficientes para este acto, en adelante,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LA PARTE VENDEDORA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35" w:lineRule="auto"/>
        <w:ind w:left="3" w:right="367" w:firstLine="1.0000000000000004"/>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de otra parte,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D./Dña  </w:t>
      </w:r>
      <w:r w:rsidDel="00000000" w:rsidR="00000000" w:rsidRPr="00000000">
        <w:rPr>
          <w:b w:val="1"/>
          <w:bCs w:val="1"/>
          <w:rtl w:val="0"/>
        </w:rPr>
        <w:t xml:space="preserve">XXXXXXXXX</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mayor de edad con número de NIE</w:t>
      </w:r>
      <w:r w:rsidDel="00000000" w:rsidR="00000000" w:rsidRPr="00000000">
        <w:rPr>
          <w:rtl w:val="0"/>
        </w:rPr>
        <w:t xml:space="preserve">  XXXXXXXX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nacionalidad </w:t>
      </w:r>
      <w:r w:rsidDel="00000000" w:rsidR="00000000" w:rsidRPr="00000000">
        <w:rPr>
          <w:rtl w:val="0"/>
        </w:rPr>
        <w:t xml:space="preserve">XXXXX y pasaporte número XXXXXXXX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residencia en </w:t>
      </w:r>
      <w:r w:rsidDel="00000000" w:rsidR="00000000" w:rsidRPr="00000000">
        <w:rPr>
          <w:rtl w:val="0"/>
        </w:rPr>
        <w:t xml:space="preserve">XXXXXXXXXXX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y para futuras notificaciones el correo electrónico </w:t>
      </w:r>
      <w:r w:rsidDel="00000000" w:rsidR="00000000" w:rsidRPr="00000000">
        <w:rPr>
          <w:rtl w:val="0"/>
        </w:rPr>
        <w:t xml:space="preserve">XXXXXXXXXXXXXXXX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adelante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comprador”)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4" w:right="212" w:hanging="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Ambas Partes se reconocen mutua y recíprocamente la capacidad de obrar y obligarse necesaria para la suscripción del presente Contrato, y a tal efecto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4" w:right="212" w:hanging="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EXPONEN</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LA PARTE VENDEDORA es promotora de un inmueble en construcción, actualmente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sobre plano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consistente en</w:t>
      </w:r>
      <w:r w:rsidDel="00000000" w:rsidR="00000000" w:rsidRPr="00000000">
        <w:rPr>
          <w:rtl w:val="0"/>
        </w:rPr>
        <w:t xml:space="preserve"> un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piso, unidad </w:t>
      </w:r>
      <w:r w:rsidDel="00000000" w:rsidR="00000000" w:rsidRPr="00000000">
        <w:rPr>
          <w:rtl w:val="0"/>
        </w:rPr>
        <w:t xml:space="preserve">número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w:t>
      </w:r>
      <w:r w:rsidDel="00000000" w:rsidR="00000000" w:rsidRPr="00000000">
        <w:rPr>
          <w:rtl w:val="0"/>
        </w:rPr>
        <w:t xml:space="preserve">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piso</w:t>
      </w:r>
      <w:r w:rsidDel="00000000" w:rsidR="00000000" w:rsidRPr="00000000">
        <w:rPr>
          <w:rtl w:val="0"/>
        </w:rPr>
        <w:t xml:space="preserve">, con superficie Util XXXXX, Superficie construida XXXXX y superficie construida incluyendo zonas comunes de XXXXXX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superficie aproximada, ubicado en Ribarroja de Túria (46190), Valencia, Camino Valencia nº 31.</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dicho inmueble se encuentra en fase de proyecto/construcción, no estando finalizado a fecha del presente contrato.</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es intención de las partes formalizar en el futuro un contrato privado de compraventa y posteriormente escritura pública.</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para asegurar la operación, ambas partes acuerdan suscribir el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virtud de lo anterior,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4" w:right="212" w:hanging="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spacing w:before="242" w:lineRule="auto"/>
        <w:ind w:right="358" w:firstLine="1"/>
        <w:jc w:val="center"/>
        <w:rPr>
          <w:rFonts w:ascii="Calibri" w:cs="Calibri" w:eastAsia="Calibri" w:hAnsi="Calibri"/>
        </w:rPr>
      </w:pPr>
      <w:r w:rsidDel="00000000" w:rsidR="00000000" w:rsidRPr="00000000">
        <w:rPr>
          <w:rFonts w:ascii="Calibri" w:cs="Calibri" w:eastAsia="Calibri" w:hAnsi="Calibri"/>
          <w:rtl w:val="0"/>
        </w:rPr>
        <w:t xml:space="preserve">MANIFIESTAN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1"/>
        </w:tabs>
        <w:spacing w:after="0" w:before="1" w:line="240" w:lineRule="auto"/>
        <w:ind w:left="171" w:right="0" w:hanging="166"/>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la Parte Vendedora es propietaria de la siguiente finca (en adelante,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Inmueble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spacing w:before="257" w:line="468" w:lineRule="auto"/>
        <w:ind w:left="5" w:right="3115" w:hanging="2"/>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DIRECCIÓN: Camino Valencia nº 31, (46190) Riba-roja de Turia REFERENCIA CATASTRAL:</w:t>
      </w:r>
      <w:r w:rsidDel="00000000" w:rsidR="00000000" w:rsidRPr="00000000">
        <w:rPr>
          <w:rtl w:val="0"/>
        </w:rPr>
        <w:t xml:space="preserve"> 9204809YJ0890C</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0" w:lineRule="auto"/>
        <w:ind w:left="0" w:right="529" w:firstLine="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REGISTRALES: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Inscrita en el Registro de la Propiedad de Benaguacil, Tomo: Libro: Folio: Inscripción:  Fecha: FINCA DE RIBARROJA DEL TURIA No: </w:t>
      </w:r>
    </w:p>
    <w:p w:rsidR="00000000" w:rsidDel="00000000" w:rsidP="00000000" w:rsidRDefault="00000000" w:rsidRPr="00000000" w14:paraId="0000001A">
      <w:pPr>
        <w:pStyle w:val="Heading1"/>
        <w:spacing w:before="240" w:lineRule="auto"/>
        <w:ind w:left="5" w:firstLine="0"/>
        <w:rPr>
          <w:rFonts w:ascii="Calibri" w:cs="Calibri" w:eastAsia="Calibri" w:hAnsi="Calibri"/>
        </w:rPr>
      </w:pPr>
      <w:r w:rsidDel="00000000" w:rsidR="00000000" w:rsidRPr="00000000">
        <w:rPr>
          <w:rFonts w:ascii="Calibri" w:cs="Calibri" w:eastAsia="Calibri" w:hAnsi="Calibri"/>
          <w:rtl w:val="0"/>
        </w:rPr>
        <w:t xml:space="preserve">IDUFIR/CRU: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30" w:lineRule="auto"/>
        <w:ind w:left="8" w:right="52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TÍTULO: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Inscrita a favor de la Parte Vendedora en cuanto a LA TOTALIDAD DEL PLENO DOMINIO.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spacing w:line="264" w:lineRule="auto"/>
        <w:ind w:left="9" w:firstLine="0"/>
        <w:rPr>
          <w:rFonts w:ascii="Calibri" w:cs="Calibri" w:eastAsia="Calibri" w:hAnsi="Calibri"/>
        </w:rPr>
      </w:pPr>
      <w:r w:rsidDel="00000000" w:rsidR="00000000" w:rsidRPr="00000000">
        <w:rPr>
          <w:rFonts w:ascii="Calibri" w:cs="Calibri" w:eastAsia="Calibri" w:hAnsi="Calibri"/>
          <w:rtl w:val="0"/>
        </w:rPr>
        <w:t xml:space="preserve">CARGAS: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5" w:right="21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Parte Vendedora pone de manifiesto bajo su responsabilidad que, no consta ningún aspecto físico o jurídico que afecte al Inmueble de una forma relevante bajo la salvedad de lo que ya consta registralmente.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
          <w:tab w:val="left" w:leader="none" w:pos="229"/>
        </w:tabs>
        <w:spacing w:after="0" w:before="0" w:line="230" w:lineRule="auto"/>
        <w:ind w:left="5" w:right="389"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adjunta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nº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w:t>
      </w:r>
      <w:r w:rsidDel="00000000" w:rsidR="00000000" w:rsidRPr="00000000">
        <w:rPr>
          <w:rtl w:val="0"/>
        </w:rPr>
        <w:t xml:space="preserve">escritura de división horizontal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del Inmueble,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nº 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consulta descriptiva catastral.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
          <w:tab w:val="left" w:leader="none" w:pos="281"/>
        </w:tabs>
        <w:spacing w:after="0" w:before="1" w:line="230" w:lineRule="auto"/>
        <w:ind w:left="5" w:right="424" w:hanging="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estando la Parte Vendedora interesada en vender el Inmueble y la Parte Compradora en comprarlo, acuerdan estas suscribir el presente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CONTRATO DE ARRAS PENITENCIALES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sujeción a las siguientes: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ind w:right="358" w:firstLine="1"/>
        <w:jc w:val="center"/>
        <w:rPr>
          <w:rFonts w:ascii="Calibri" w:cs="Calibri" w:eastAsia="Calibri" w:hAnsi="Calibri"/>
        </w:rPr>
      </w:pPr>
      <w:r w:rsidDel="00000000" w:rsidR="00000000" w:rsidRPr="00000000">
        <w:rPr>
          <w:rFonts w:ascii="Calibri" w:cs="Calibri" w:eastAsia="Calibri" w:hAnsi="Calibri"/>
          <w:rtl w:val="0"/>
        </w:rPr>
        <w:t xml:space="preserve">CLÁUSULAS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
          <w:tab w:val="left" w:leader="none" w:pos="197"/>
        </w:tabs>
        <w:spacing w:after="0" w:before="1" w:line="230" w:lineRule="auto"/>
        <w:ind w:left="5" w:right="388" w:hanging="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partes acuerdan la compraventa del Inmueble, que se formalizará mediante escritura pública y según las condiciones esenciales pactadas en este Contrato, siendo que la parte vendedora se compromete a finalizar la construcción del inmueble antes de </w:t>
      </w:r>
      <w:r w:rsidDel="00000000" w:rsidR="00000000" w:rsidRPr="00000000">
        <w:rPr>
          <w:rtl w:val="0"/>
        </w:rPr>
        <w:t xml:space="preserve">Enero 2028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salvo causas de fuerza mayor o retrasos administrativos debidamente acreditados que no serán, en ningún caso imputables a la parte vendedora y no supondrá por ello incumplimiento contractual.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transmisión quedará condicionada a que el inmueble cuente con:</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Licencia de primera ocupación o cédula de habitabilidad.</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Inscripción en el Registro de la Propiedad.</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Certificado final de obra.</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
          <w:tab w:val="left" w:leader="none" w:pos="270"/>
        </w:tabs>
        <w:spacing w:after="0" w:before="252" w:line="240" w:lineRule="auto"/>
        <w:ind w:left="1" w:right="376" w:hanging="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este acto, la Parte Compradora hace entrega de la cantidad de </w:t>
      </w:r>
      <w:r w:rsidDel="00000000" w:rsidR="00000000" w:rsidRPr="00000000">
        <w:rPr>
          <w:b w:val="1"/>
          <w:bCs w:val="1"/>
          <w:rtl w:val="0"/>
        </w:rPr>
        <w:t xml:space="preserve">XXXXXXXXXXX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EUROS (</w:t>
      </w:r>
      <w:r w:rsidDel="00000000" w:rsidR="00000000" w:rsidRPr="00000000">
        <w:rPr>
          <w:b w:val="1"/>
          <w:bCs w:val="1"/>
          <w:rtl w:val="0"/>
        </w:rPr>
        <w:t xml:space="preserve">XXXXX</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mediante transferencia bancaria al número de cuenta </w:t>
      </w:r>
      <w:r w:rsidDel="00000000" w:rsidR="00000000" w:rsidRPr="00000000">
        <w:rPr>
          <w:b w:val="1"/>
          <w:bCs w:val="1"/>
          <w:rtl w:val="0"/>
        </w:rPr>
        <w:t xml:space="preserve">ES6400494409332510055776 - SWIFT BSCHESMM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titularidad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FORTIN CONSTRUCCIONES Y PATRIMONIO SL.</w:t>
      </w:r>
      <w:r w:rsidDel="00000000" w:rsidR="00000000" w:rsidRPr="00000000">
        <w:rPr>
          <w:b w:val="1"/>
          <w:bCs w:val="1"/>
          <w:rtl w:val="0"/>
        </w:rPr>
        <w:t xml:space="preserve"> El monto entregado incluye IVA y será enviada una factura por esa entrega por un monto de XXXXXXXX EUROS (XXXXXXX€) mas IVA (10%). </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
          <w:tab w:val="left" w:leader="none" w:pos="270"/>
        </w:tabs>
        <w:spacing w:after="0" w:before="252" w:line="240" w:lineRule="auto"/>
        <w:ind w:left="6" w:right="376" w:firstLine="0"/>
        <w:jc w:val="both"/>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adjunta como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nº 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copia del justificante del medio de pago referido.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30" w:lineRule="auto"/>
        <w:ind w:left="5" w:right="378" w:hanging="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Dicha cantidad se recibe por la parte Vendedora en concepto de Arras Penitenciales y, en caso de celebrarse la futura compraventa, se entenderá entregada a cuenta del total importe del precio estipulado de compraventa, sirviendo el presente contrato de eficaz carta de pago.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5" w:right="379" w:hanging="3"/>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no recibirse el importe antes referenciado en el plazo máximo de setenta y dos (72) horas laborables, la parte vendedora podrá disponer libremente de su propiedad, sin tener la compradora nada más que reclamar.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 w:right="378" w:firstLine="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supuesto de que la compraventa no llegase a formalizarse en escritura pública dentro del plazo estipulado en la cláusula primera anterior, por causa imputable a uno de los contratantes, se estará a lo dispuesto en el artículo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1.454 del Código Civil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adelante,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perdiendo las arras la Parte Compradora o devolviéndose por duplicado por la Parte Vendedora, en un plazo no superior a 7 días naturales a contar desde el día siguiente a la finalización de dicho plazo.</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
          <w:tab w:val="left" w:leader="none" w:pos="282"/>
        </w:tabs>
        <w:spacing w:after="0" w:before="258" w:line="230" w:lineRule="auto"/>
        <w:ind w:left="5" w:right="420" w:hanging="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total y definitivo precio de la compra venta es de </w:t>
      </w:r>
      <w:r w:rsidDel="00000000" w:rsidR="00000000" w:rsidRPr="00000000">
        <w:rPr>
          <w:rtl w:val="0"/>
        </w:rPr>
        <w:t xml:space="preserve">XXXXXXXX</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rtl w:val="0"/>
        </w:rPr>
        <w:t xml:space="preserve">XXXXXX</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 hará efectivo de la siguiente forma:</w:t>
      </w:r>
    </w:p>
    <w:p w:rsidR="00000000" w:rsidDel="00000000" w:rsidP="00000000" w:rsidRDefault="00000000" w:rsidRPr="00000000" w14:paraId="0000003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18"/>
          <w:tab w:val="left" w:leader="none" w:pos="378"/>
        </w:tabs>
        <w:spacing w:after="0" w:before="131" w:line="230" w:lineRule="auto"/>
        <w:ind w:left="378" w:right="374" w:hanging="34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XXXXXXXXX EUROS (1XXXXXX€)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la Parte Compradora ha entregado (Descontando el 10% de IVA</w:t>
      </w:r>
      <w:r w:rsidDel="00000000" w:rsidR="00000000" w:rsidRPr="00000000">
        <w:rPr>
          <w:rtl w:val="0"/>
        </w:rPr>
        <w:t xml:space="preserve"> al pago inicial)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tal y como se recoge en la cláusula segunda, a la parte Vendedora, que manifiesta haberlos recibido en concepto de arras penitenciales y a cuenta del total importe del precio pactado.</w:t>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20"/>
          <w:tab w:val="left" w:leader="none" w:pos="378"/>
        </w:tabs>
        <w:spacing w:after="0" w:before="40" w:line="230" w:lineRule="auto"/>
        <w:ind w:left="378" w:right="375" w:hanging="34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XXXXXXXXXXX</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XXXXXXXXX</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la Parte Compradora entregará a la Parte Vendedora en el momento del otorgamiento de la escritura pública de compraventa, dentro del plazo señalado en la cláusula primera.</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20"/>
          <w:tab w:val="left" w:leader="none" w:pos="378"/>
        </w:tabs>
        <w:spacing w:after="0" w:before="40" w:line="230" w:lineRule="auto"/>
        <w:ind w:left="378" w:right="375" w:hanging="34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Al monto total hay que añadir IVA (10%), AGD ley y gastos de notaría e muebles y equipamiento.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79"/>
        </w:tabs>
        <w:spacing w:after="0" w:before="0" w:line="230" w:lineRule="auto"/>
        <w:ind w:left="1" w:right="380" w:firstLine="4"/>
        <w:jc w:val="both"/>
        <w:rPr>
          <w:rFonts w:ascii="Calibri" w:cs="Calibri" w:eastAsia="Calibri" w:hAnsi="Calibri"/>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El Notario será el elegido por la parte vendedora, siendo este el Notario de Benaguacil.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
          <w:tab w:val="left" w:leader="none" w:pos="216"/>
        </w:tabs>
        <w:spacing w:after="0" w:before="1" w:line="230" w:lineRule="auto"/>
        <w:ind w:left="4" w:right="1360" w:hanging="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otorgamiento de la escritura pública de compraventa se hará a favor de las personas aquí nombradas como la Parte Compradora.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8"/>
        </w:tabs>
        <w:spacing w:after="0" w:before="0" w:line="230" w:lineRule="auto"/>
        <w:ind w:left="1" w:right="372" w:firstLine="2.000000000000000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el otorgamiento de la escritura pública de compraventa del Inmueble, se entenderá transmitido el pleno dominio y la plena y pacífica posesión del mismo a la parte Compradora, libre de cargas y gravámenes, afecciones urbanísticas, arrendatarios y ocupantes, y al corriente de pago del I.B.I. correspondiente a la anualidad en curso, contribuciones, arbitrios, impuestos y gastos de comunidad, debiéndose acreditar por la Parte Vendedora documentalmente tales extremos, y con entrega a la Parte Compradora de las llaves del Inmueble.</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2"/>
        </w:tabs>
        <w:spacing w:after="0" w:before="250" w:line="240" w:lineRule="auto"/>
        <w:ind w:left="352" w:right="0" w:hanging="352"/>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gastos e impuestos derivados de la transmisión serán asumidos por las partes con arreglo a Ley.</w:t>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52"/>
        </w:tabs>
        <w:spacing w:after="0" w:before="250" w:line="240" w:lineRule="auto"/>
        <w:ind w:left="352" w:right="0" w:hanging="352"/>
        <w:jc w:val="both"/>
        <w:rPr>
          <w:b w:val="0"/>
          <w:bCs w:val="0"/>
        </w:rPr>
      </w:pPr>
      <w:r w:rsidDel="00000000" w:rsidR="00000000" w:rsidRPr="00000000">
        <w:rPr>
          <w:rtl w:val="0"/>
        </w:rPr>
        <w:t xml:space="preserve">La parte compradora reconoce y acepta que la compra de este inmueble lleva aparejada la firma del contrato de gestión del mismo. Dicho contrato de gestión es una condición sine qua non para la vigencia y efectividad del presente contrato. En caso de no firmarse el contrato de gestión en el momento de la compraventa, dicha operación quedará anulada.  Perdiendo la parte compradora el dinero entregado en concepto de arras.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16"/>
        </w:tabs>
        <w:spacing w:after="0" w:before="0" w:line="230" w:lineRule="auto"/>
        <w:ind w:left="5" w:right="104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Partes se someten a la jurisdicción y competencia de los juzgados de donde se encuentre ubicado el Inmueble</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05"/>
        </w:tabs>
        <w:spacing w:after="0" w:before="265" w:line="230" w:lineRule="auto"/>
        <w:ind w:left="3" w:right="376"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vista del cumplimiento del Reglamento (UE) 2016/679 del Parlamento Europeo y del Consejo de 27 de abril del 2016 (RGPD) y la ley orgánica 3/2018, de 5 de diciembre, de Protección de Datos Personales y garantía de los derechos digitales, le informamos que el tratamiento de los datos proporcionados por Ud. serán gestionados por </w:t>
      </w:r>
      <w:r w:rsidDel="00000000" w:rsidR="00000000" w:rsidRPr="00000000">
        <w:rPr>
          <w:b w:val="1"/>
          <w:bCs w:val="1"/>
          <w:rtl w:val="0"/>
        </w:rPr>
        <w:t xml:space="preserve">Uriel Nabel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como responsable de los mismos para el correcto cumplimiento de las exigencias y finalidades establecidas por la normativa citada, comprometiéndose así mismo, a cumplir con las obligaciones que le han sido atribuidas por la Ley 10/2010, de 28 de Abril, de Prevención del Blanqueo de Capitales y de Financiación del Terrorismo.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0" w:lineRule="auto"/>
        <w:ind w:left="1" w:right="378" w:firstLine="4"/>
        <w:jc w:val="both"/>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7" w:type="default"/>
          <w:pgSz w:h="15840" w:w="12240" w:orient="portrait"/>
          <w:pgMar w:bottom="280" w:top="1520" w:left="1440" w:right="1080" w:header="745" w:footer="0"/>
          <w:pgNumType w:start="1"/>
        </w:sectPr>
      </w:pPr>
      <w:bookmarkStart w:colFirst="0" w:colLast="0" w:name="_heading=h.oqmrmj82bhgg"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Partes se compromete a mantener actualizados sus datos facilitados en el presente Contrato debiendo comunicar de forma escrita a </w:t>
      </w:r>
      <w:r w:rsidDel="00000000" w:rsidR="00000000" w:rsidRPr="00000000">
        <w:rPr>
          <w:b w:val="1"/>
          <w:bCs w:val="1"/>
          <w:rtl w:val="0"/>
        </w:rPr>
        <w:t xml:space="preserve">Uriel Nabel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través del correo electrónico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conversemos@elfortincapital.com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cualquier cambio que se produzca en los mismos. Las partes podrán ejercer sus derechos de acceso, rectificación, cancelación y oposición en cualquier momento y de forma gratuita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1"/>
        <w:ind w:left="5" w:firstLine="0"/>
        <w:rPr>
          <w:rFonts w:ascii="Calibri" w:cs="Calibri" w:eastAsia="Calibri" w:hAnsi="Calibri"/>
        </w:rPr>
      </w:pPr>
      <w:r w:rsidDel="00000000" w:rsidR="00000000" w:rsidRPr="00000000">
        <w:rPr>
          <w:rFonts w:ascii="Calibri" w:cs="Calibri" w:eastAsia="Calibri" w:hAnsi="Calibri"/>
          <w:rtl w:val="0"/>
        </w:rPr>
        <w:t xml:space="preserve">LA PARTE COMPRADORA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left="5" w:firstLine="0"/>
        <w:rPr>
          <w:rFonts w:ascii="Calibri" w:cs="Calibri" w:eastAsia="Calibri" w:hAnsi="Calibri"/>
        </w:rPr>
      </w:pPr>
      <w:r w:rsidDel="00000000" w:rsidR="00000000" w:rsidRPr="00000000">
        <w:rPr>
          <w:rFonts w:ascii="Calibri" w:cs="Calibri" w:eastAsia="Calibri" w:hAnsi="Calibri"/>
          <w:rtl w:val="0"/>
        </w:rPr>
        <w:t xml:space="preserve">LA PARTE VENDEDORA</w:t>
      </w:r>
    </w:p>
    <w:sectPr>
      <w:type w:val="nextPage"/>
      <w:pgSz w:h="15840" w:w="12240" w:orient="portrait"/>
      <w:pgMar w:bottom="280" w:top="1520" w:left="1440" w:right="1080" w:header="74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-704848</wp:posOffset>
          </wp:positionH>
          <wp:positionV relativeFrom="paragraph">
            <wp:posOffset>-314323</wp:posOffset>
          </wp:positionV>
          <wp:extent cx="1952625" cy="711200"/>
          <wp:effectExtent b="0" l="0" r="0" t="0"/>
          <wp:wrapNone/>
          <wp:docPr id="2" name="image1.png"/>
          <a:graphic>
            <a:graphicData uri="http://schemas.openxmlformats.org/drawingml/2006/picture">
              <pic:pic>
                <pic:nvPicPr>
                  <pic:cNvPr id="0" name="image1.png"/>
                  <pic:cNvPicPr preferRelativeResize="0"/>
                </pic:nvPicPr>
                <pic:blipFill>
                  <a:blip r:embed="rId1"/>
                  <a:srcRect b="40842" l="34877" r="33488" t="38613"/>
                  <a:stretch>
                    <a:fillRect/>
                  </a:stretch>
                </pic:blipFill>
                <pic:spPr>
                  <a:xfrm>
                    <a:off x="0" y="0"/>
                    <a:ext cx="1952625" cy="711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73" w:hanging="168"/>
      </w:pPr>
      <w:rPr>
        <w:rFonts w:ascii="Calibri" w:cs="Calibri" w:eastAsia="Calibri" w:hAnsi="Calibri"/>
        <w:b w:val="1"/>
        <w:bCs w:val="1"/>
        <w:i w:val="0"/>
        <w:iCs w:val="0"/>
        <w:sz w:val="22"/>
        <w:szCs w:val="22"/>
      </w:rPr>
    </w:lvl>
    <w:lvl w:ilvl="1">
      <w:start w:val="0"/>
      <w:numFmt w:val="bullet"/>
      <w:lvlText w:val="•"/>
      <w:lvlJc w:val="left"/>
      <w:pPr>
        <w:ind w:left="1134" w:hanging="167.99999999999977"/>
      </w:pPr>
      <w:rPr/>
    </w:lvl>
    <w:lvl w:ilvl="2">
      <w:start w:val="0"/>
      <w:numFmt w:val="bullet"/>
      <w:lvlText w:val="•"/>
      <w:lvlJc w:val="left"/>
      <w:pPr>
        <w:ind w:left="2088" w:hanging="168"/>
      </w:pPr>
      <w:rPr/>
    </w:lvl>
    <w:lvl w:ilvl="3">
      <w:start w:val="0"/>
      <w:numFmt w:val="bullet"/>
      <w:lvlText w:val="•"/>
      <w:lvlJc w:val="left"/>
      <w:pPr>
        <w:ind w:left="3042" w:hanging="168"/>
      </w:pPr>
      <w:rPr/>
    </w:lvl>
    <w:lvl w:ilvl="4">
      <w:start w:val="0"/>
      <w:numFmt w:val="bullet"/>
      <w:lvlText w:val="•"/>
      <w:lvlJc w:val="left"/>
      <w:pPr>
        <w:ind w:left="3996" w:hanging="168"/>
      </w:pPr>
      <w:rPr/>
    </w:lvl>
    <w:lvl w:ilvl="5">
      <w:start w:val="0"/>
      <w:numFmt w:val="bullet"/>
      <w:lvlText w:val="•"/>
      <w:lvlJc w:val="left"/>
      <w:pPr>
        <w:ind w:left="4950" w:hanging="168"/>
      </w:pPr>
      <w:rPr/>
    </w:lvl>
    <w:lvl w:ilvl="6">
      <w:start w:val="0"/>
      <w:numFmt w:val="bullet"/>
      <w:lvlText w:val="•"/>
      <w:lvlJc w:val="left"/>
      <w:pPr>
        <w:ind w:left="5904" w:hanging="168"/>
      </w:pPr>
      <w:rPr/>
    </w:lvl>
    <w:lvl w:ilvl="7">
      <w:start w:val="0"/>
      <w:numFmt w:val="bullet"/>
      <w:lvlText w:val="•"/>
      <w:lvlJc w:val="left"/>
      <w:pPr>
        <w:ind w:left="6858" w:hanging="168"/>
      </w:pPr>
      <w:rPr/>
    </w:lvl>
    <w:lvl w:ilvl="8">
      <w:start w:val="0"/>
      <w:numFmt w:val="bullet"/>
      <w:lvlText w:val="•"/>
      <w:lvlJc w:val="left"/>
      <w:pPr>
        <w:ind w:left="7812" w:hanging="167.9999999999991"/>
      </w:pPr>
      <w:rPr/>
    </w:lvl>
  </w:abstractNum>
  <w:abstractNum w:abstractNumId="2">
    <w:lvl w:ilvl="0">
      <w:start w:val="1"/>
      <w:numFmt w:val="upperRoman"/>
      <w:lvlText w:val="%1."/>
      <w:lvlJc w:val="left"/>
      <w:pPr>
        <w:ind w:left="6" w:hanging="196.99999999999994"/>
      </w:pPr>
      <w:rPr>
        <w:rFonts w:ascii="Calibri" w:cs="Calibri" w:eastAsia="Calibri" w:hAnsi="Calibri"/>
        <w:b w:val="1"/>
        <w:bCs w:val="1"/>
        <w:i w:val="0"/>
        <w:iCs w:val="0"/>
        <w:sz w:val="22"/>
        <w:szCs w:val="22"/>
      </w:rPr>
    </w:lvl>
    <w:lvl w:ilvl="1">
      <w:start w:val="0"/>
      <w:numFmt w:val="bullet"/>
      <w:lvlText w:val="●"/>
      <w:lvlJc w:val="left"/>
      <w:pPr>
        <w:ind w:left="378" w:hanging="186.00000000000009"/>
      </w:pPr>
      <w:rPr>
        <w:rFonts w:ascii="Calibri" w:cs="Calibri" w:eastAsia="Calibri" w:hAnsi="Calibri"/>
        <w:b w:val="1"/>
        <w:bCs w:val="1"/>
        <w:i w:val="0"/>
        <w:iCs w:val="0"/>
        <w:sz w:val="22"/>
        <w:szCs w:val="22"/>
      </w:rPr>
    </w:lvl>
    <w:lvl w:ilvl="2">
      <w:start w:val="0"/>
      <w:numFmt w:val="bullet"/>
      <w:lvlText w:val="•"/>
      <w:lvlJc w:val="left"/>
      <w:pPr>
        <w:ind w:left="1417" w:hanging="186"/>
      </w:pPr>
      <w:rPr/>
    </w:lvl>
    <w:lvl w:ilvl="3">
      <w:start w:val="0"/>
      <w:numFmt w:val="bullet"/>
      <w:lvlText w:val="•"/>
      <w:lvlJc w:val="left"/>
      <w:pPr>
        <w:ind w:left="2455" w:hanging="186"/>
      </w:pPr>
      <w:rPr/>
    </w:lvl>
    <w:lvl w:ilvl="4">
      <w:start w:val="0"/>
      <w:numFmt w:val="bullet"/>
      <w:lvlText w:val="•"/>
      <w:lvlJc w:val="left"/>
      <w:pPr>
        <w:ind w:left="3493" w:hanging="186"/>
      </w:pPr>
      <w:rPr/>
    </w:lvl>
    <w:lvl w:ilvl="5">
      <w:start w:val="0"/>
      <w:numFmt w:val="bullet"/>
      <w:lvlText w:val="•"/>
      <w:lvlJc w:val="left"/>
      <w:pPr>
        <w:ind w:left="4531" w:hanging="186"/>
      </w:pPr>
      <w:rPr/>
    </w:lvl>
    <w:lvl w:ilvl="6">
      <w:start w:val="0"/>
      <w:numFmt w:val="bullet"/>
      <w:lvlText w:val="•"/>
      <w:lvlJc w:val="left"/>
      <w:pPr>
        <w:ind w:left="5568" w:hanging="186.00000000000182"/>
      </w:pPr>
      <w:rPr/>
    </w:lvl>
    <w:lvl w:ilvl="7">
      <w:start w:val="0"/>
      <w:numFmt w:val="bullet"/>
      <w:lvlText w:val="•"/>
      <w:lvlJc w:val="left"/>
      <w:pPr>
        <w:ind w:left="6606" w:hanging="186"/>
      </w:pPr>
      <w:rPr/>
    </w:lvl>
    <w:lvl w:ilvl="8">
      <w:start w:val="0"/>
      <w:numFmt w:val="bullet"/>
      <w:lvlText w:val="•"/>
      <w:lvlJc w:val="left"/>
      <w:pPr>
        <w:ind w:left="7644" w:hanging="186"/>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
    </w:pPr>
    <w:rPr>
      <w:b w:val="1"/>
      <w:bCs w:val="1"/>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1"/>
    <w:rsid w:val="00AD26B6"/>
    <w:rPr>
      <w:rFonts w:ascii="Calibri" w:cs="Calibri" w:eastAsia="Calibri" w:hAnsi="Calibri"/>
      <w:b w:val="1"/>
      <w:bCs w:val="1"/>
    </w:rPr>
  </w:style>
  <w:style w:type="paragraph" w:styleId="msonormal0" w:customStyle="1">
    <w:name w:val="msonormal"/>
    <w:basedOn w:val="Normal"/>
    <w:rsid w:val="00AD26B6"/>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ES"/>
    </w:rPr>
  </w:style>
  <w:style w:type="paragraph" w:styleId="Textoindependiente">
    <w:name w:val="Body Text"/>
    <w:basedOn w:val="Normal"/>
    <w:link w:val="TextoindependienteCar"/>
    <w:uiPriority w:val="1"/>
    <w:semiHidden w:val="1"/>
    <w:unhideWhenUsed w:val="1"/>
    <w:qFormat w:val="1"/>
    <w:rsid w:val="00AD26B6"/>
  </w:style>
  <w:style w:type="character" w:styleId="TextoindependienteCar" w:customStyle="1">
    <w:name w:val="Texto independiente Car"/>
    <w:basedOn w:val="Fuentedeprrafopredeter"/>
    <w:link w:val="Textoindependiente"/>
    <w:uiPriority w:val="1"/>
    <w:semiHidden w:val="1"/>
    <w:rsid w:val="00AD26B6"/>
    <w:rPr>
      <w:rFonts w:ascii="Calibri" w:cs="Calibri" w:eastAsia="Calibri" w:hAnsi="Calibri"/>
    </w:rPr>
  </w:style>
  <w:style w:type="paragraph" w:styleId="Prrafodelista">
    <w:name w:val="List Paragraph"/>
    <w:basedOn w:val="Normal"/>
    <w:uiPriority w:val="1"/>
    <w:qFormat w:val="1"/>
    <w:rsid w:val="00AD26B6"/>
    <w:pPr>
      <w:ind w:left="5"/>
    </w:pPr>
  </w:style>
  <w:style w:type="paragraph" w:styleId="TableParagraph" w:customStyle="1">
    <w:name w:val="Table Paragraph"/>
    <w:basedOn w:val="Normal"/>
    <w:uiPriority w:val="1"/>
    <w:qFormat w:val="1"/>
    <w:rsid w:val="00AD26B6"/>
  </w:style>
  <w:style w:type="table" w:styleId="TableNormal" w:customStyle="1">
    <w:name w:val="Table Normal"/>
    <w:uiPriority w:val="2"/>
    <w:semiHidden w:val="1"/>
    <w:qFormat w:val="1"/>
    <w:rsid w:val="00AD26B6"/>
    <w:pPr>
      <w:widowControl w:val="0"/>
      <w:autoSpaceDE w:val="0"/>
      <w:autoSpaceDN w:val="0"/>
      <w:spacing w:after="0" w:line="240" w:lineRule="auto"/>
    </w:pPr>
    <w:rPr>
      <w:lang w:val="en-US"/>
    </w:rPr>
    <w:tblPr>
      <w:tblCellMar>
        <w:top w:w="0.0" w:type="dxa"/>
        <w:left w:w="0.0" w:type="dxa"/>
        <w:bottom w:w="0.0" w:type="dxa"/>
        <w:right w:w="0.0" w:type="dxa"/>
      </w:tblCellMar>
    </w:tblPr>
  </w:style>
  <w:style w:type="character" w:styleId="Hipervnculo">
    <w:name w:val="Hyperlink"/>
    <w:basedOn w:val="Fuentedeprrafopredeter"/>
    <w:uiPriority w:val="99"/>
    <w:unhideWhenUsed w:val="1"/>
    <w:rsid w:val="00AD26B6"/>
    <w:rPr>
      <w:color w:val="0000ff"/>
      <w:u w:val="single"/>
    </w:rPr>
  </w:style>
  <w:style w:type="character" w:styleId="Hipervnculovisitado">
    <w:name w:val="FollowedHyperlink"/>
    <w:basedOn w:val="Fuentedeprrafopredeter"/>
    <w:uiPriority w:val="99"/>
    <w:semiHidden w:val="1"/>
    <w:unhideWhenUsed w:val="1"/>
    <w:rsid w:val="00AD26B6"/>
    <w:rPr>
      <w:color w:val="800080"/>
      <w:u w:val="single"/>
    </w:rPr>
  </w:style>
  <w:style w:type="character" w:styleId="Textoennegrita">
    <w:name w:val="Strong"/>
    <w:basedOn w:val="Fuentedeprrafopredeter"/>
    <w:uiPriority w:val="22"/>
    <w:qFormat w:val="1"/>
    <w:rsid w:val="00752DDA"/>
    <w:rPr>
      <w:b w:val="1"/>
      <w:bCs w:val="1"/>
    </w:rPr>
  </w:style>
  <w:style w:type="character" w:styleId="nfasis">
    <w:name w:val="Emphasis"/>
    <w:basedOn w:val="Fuentedeprrafopredeter"/>
    <w:uiPriority w:val="20"/>
    <w:qFormat w:val="1"/>
    <w:rsid w:val="00752DDA"/>
    <w:rPr>
      <w:i w:val="1"/>
      <w:iCs w:val="1"/>
    </w:rPr>
  </w:style>
  <w:style w:type="character" w:styleId="Ttulo2Car" w:customStyle="1">
    <w:name w:val="Título 2 Car"/>
    <w:basedOn w:val="Fuentedeprrafopredeter"/>
    <w:link w:val="Ttulo2"/>
    <w:uiPriority w:val="9"/>
    <w:semiHidden w:val="1"/>
    <w:rsid w:val="00F11A7F"/>
    <w:rPr>
      <w:rFonts w:asciiTheme="majorHAnsi" w:cstheme="majorBidi" w:eastAsiaTheme="majorEastAsia" w:hAnsiTheme="majorHAnsi"/>
      <w:color w:val="2e74b5" w:themeColor="accent1" w:themeShade="0000BF"/>
      <w:sz w:val="26"/>
      <w:szCs w:val="26"/>
    </w:rPr>
  </w:style>
  <w:style w:type="paragraph" w:styleId="NormalWeb">
    <w:name w:val="Normal (Web)"/>
    <w:basedOn w:val="Normal"/>
    <w:uiPriority w:val="99"/>
    <w:unhideWhenUsed w:val="1"/>
    <w:rsid w:val="00F11A7F"/>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ES"/>
    </w:rPr>
  </w:style>
  <w:style w:type="character" w:styleId="Ttulo3Car" w:customStyle="1">
    <w:name w:val="Título 3 Car"/>
    <w:basedOn w:val="Fuentedeprrafopredeter"/>
    <w:link w:val="Ttulo3"/>
    <w:uiPriority w:val="9"/>
    <w:semiHidden w:val="1"/>
    <w:rsid w:val="00240BE8"/>
    <w:rPr>
      <w:rFonts w:asciiTheme="majorHAnsi" w:cstheme="majorBidi" w:eastAsiaTheme="majorEastAsia" w:hAnsiTheme="majorHAnsi"/>
      <w:color w:val="1f4d78"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mailto:conversemos@elfortincapita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wIlUnOss8AXiaakX69hAFjIUFQ==">CgMxLjAyDmgub3Ftcm1qODJiaGdnOAByITFYbzliSUhDMjVkakdTSGhmRThaaFZsQ2ZySU43ajRHRA==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2026-01-09T08:59:00Z</dcterms:created>
  <dc:creator>AINOHA</dc:creator>
</cp:coreProperties>
</file>