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480"/>
        <w:jc w:val="center"/>
        <w:rPr/>
      </w:pPr>
      <w:r>
        <w:rPr>
          <w:b/>
          <w:bCs/>
          <w:sz w:val="36"/>
          <w:szCs w:val="36"/>
        </w:rPr>
        <w:t>Anthropogenic Drivers of Flora Diversity Decline in Kathmandu Valley, Nepal:</w:t>
      </w:r>
    </w:p>
    <w:p>
      <w:pPr>
        <w:pStyle w:val="Normal"/>
        <w:spacing w:before="0" w:after="720"/>
        <w:jc w:val="center"/>
        <w:rPr/>
      </w:pPr>
      <w:r>
        <w:rPr>
          <w:b/>
          <w:bCs/>
          <w:sz w:val="28"/>
          <w:szCs w:val="28"/>
        </w:rPr>
        <w:t>A Comprehensive Meta-Analysis Integrating Urbanization, Land-Use Change, and Climate Variation Over Four Decades (1989-2025)</w:t>
      </w:r>
    </w:p>
    <w:p>
      <w:pPr>
        <w:pStyle w:val="Normal"/>
        <w:spacing w:before="960" w:after="240"/>
        <w:jc w:val="center"/>
        <w:rPr>
          <w:b/>
          <w:bCs/>
        </w:rPr>
      </w:pPr>
      <w:r>
        <w:rPr>
          <w:b/>
          <w:bCs/>
          <w:sz w:val="24"/>
          <w:szCs w:val="24"/>
        </w:rPr>
        <w:t>BINOD CHHETRI</w:t>
      </w:r>
    </w:p>
    <w:p>
      <w:pPr>
        <w:pStyle w:val="Normal"/>
        <w:spacing w:before="0" w:after="120"/>
        <w:jc w:val="center"/>
        <w:rPr>
          <w:b/>
          <w:bCs/>
          <w:sz w:val="22"/>
          <w:szCs w:val="22"/>
        </w:rPr>
      </w:pPr>
      <w:r>
        <w:rPr>
          <w:b/>
          <w:bCs/>
          <w:sz w:val="22"/>
          <w:szCs w:val="22"/>
        </w:rPr>
        <w:t>BIODIVERSITY SCIENCES (Martin luther University Halle-Wittenberg)</w:t>
      </w:r>
    </w:p>
    <w:p>
      <w:pPr>
        <w:pStyle w:val="Normal"/>
        <w:spacing w:before="0" w:after="120"/>
        <w:jc w:val="center"/>
        <w:rPr>
          <w:b/>
          <w:bCs/>
          <w:i w:val="false"/>
          <w:iCs w:val="false"/>
          <w:sz w:val="22"/>
          <w:szCs w:val="22"/>
        </w:rPr>
      </w:pPr>
      <w:r>
        <w:rPr>
          <w:b/>
          <w:bCs/>
          <w:i w:val="false"/>
          <w:iCs w:val="false"/>
          <w:sz w:val="22"/>
          <w:szCs w:val="22"/>
        </w:rPr>
        <w:t>Email:-binod.chhetri@student.uni-halle.de</w:t>
      </w:r>
    </w:p>
    <w:p>
      <w:pPr>
        <w:pStyle w:val="Normal"/>
        <w:spacing w:before="480" w:after="200"/>
        <w:jc w:val="center"/>
        <w:rPr>
          <w:i/>
          <w:iCs/>
          <w:sz w:val="20"/>
          <w:szCs w:val="20"/>
        </w:rPr>
      </w:pPr>
      <w:r>
        <w:rPr/>
      </w:r>
      <w:r>
        <w:br w:type="page"/>
      </w:r>
    </w:p>
    <w:p>
      <w:pPr>
        <w:pStyle w:val="Heading1"/>
        <w:spacing w:before="0" w:after="360"/>
        <w:rPr/>
      </w:pPr>
      <w:r>
        <w:rPr>
          <w:b/>
          <w:bCs/>
        </w:rPr>
        <w:t>ABSTRACT</w:t>
      </w:r>
    </w:p>
    <w:p>
      <w:pPr>
        <w:pStyle w:val="Normal"/>
        <w:spacing w:before="0" w:after="180"/>
        <w:jc w:val="both"/>
        <w:rPr/>
      </w:pPr>
      <w:r>
        <w:rPr>
          <w:b/>
          <w:bCs/>
        </w:rPr>
        <w:t xml:space="preserve">Background: </w:t>
      </w:r>
      <w:r>
        <w:rPr/>
        <w:t>Urbanization threatens biodiversity globally, with particularly severe impacts in developing nation biodiversity hotspots. Nepal's Kathmandu Valley exemplifies these pressures, experiencing 551% urban expansion (1989-2024) concurrent with alarming biodiversity declines. Yet systematic quantification of causal mechanisms—distinguishing urbanization, deforestation, and climate contributions—remains incomplete, impeding evidence-based conservation policy in rapidly transforming Himalayan metropolitan regions.</w:t>
      </w:r>
    </w:p>
    <w:p>
      <w:pPr>
        <w:pStyle w:val="Normal"/>
        <w:spacing w:before="0" w:after="180"/>
        <w:jc w:val="both"/>
        <w:rPr/>
      </w:pPr>
      <w:r>
        <w:rPr>
          <w:b/>
          <w:bCs/>
        </w:rPr>
        <w:t xml:space="preserve">Methods: </w:t>
      </w:r>
      <w:r>
        <w:rPr/>
        <w:t>We conducted comprehensive meta-analysis synthesizing 85 peer-reviewed studies and government reports (1989-2025) encompassing 3,254 georeferenced observations across the 899 km² valley. Methodological integration included: (1) systematic literature review following PRISMA guidelines (dual screening, κ=0.89); (2) Landsat time-series analysis (30m resolution, Random Forest classification: 92.3% accuracy, κ=0.89); (3) field surveys at 25 stratified sites measuring species richness, Shannon-Wiener diversity (H'), Simpson's diversity (1-D), and environmental covariates; (4) random-effects meta-analysis with REML estimation calculating Hedges' g with 95% confidence intervals; (5) meta-regression with mixed-effects models examining 12 moderators (temperature, precipitation, NDVI, LST, elevation, fragmentation metrics, population density, road density); (6) geospatial analysis in QGIS 3.34 including kernel density estimation (5km bandwidth), IDW interpolation, and buffer analysis (5, 10, 15, 20 km); (7) statistical computing in R 4.3.2 (metafor, lme4, vegan, ggplot2 packages); (8) comprehensive publication bias assessment (funnel plots, Egger's regression, trim-and-fill, sensitivity analyses).</w:t>
      </w:r>
    </w:p>
    <w:p>
      <w:pPr>
        <w:pStyle w:val="Normal"/>
        <w:spacing w:before="0" w:after="180"/>
        <w:jc w:val="both"/>
        <w:rPr/>
      </w:pPr>
      <w:r>
        <w:rPr>
          <w:b/>
          <w:bCs/>
        </w:rPr>
        <w:t xml:space="preserve">Results: </w:t>
      </w:r>
      <w:r>
        <w:rPr/>
        <w:t>Remote sensing revealed dramatic landscape transformation: built-up area expanded from 41.2 km² (4.6%, 1989) to 268.5 km² (29.9%, 2024), a 551.5% increase (CAGR=5.47%, R²=0.96, p&lt;0.001); forest cover contracted from 252.7 km² (28.1%) to 165.2 km² (18.4%), a 34.6% decline (-2.50 km²/year, R²=0.91, p&lt;0.001); agricultural land decreased 59.9% (287.6→115.3 km²). Species richness exhibited strong negative correlation with urbanization across 2,650 observations (Spearman's ρ=-0.78, p&lt;0.001), declining from 90.8±8.7 species (rural, &lt;20% built-up) to 62.1±12.3 species (urban, &gt;70% built-up), representing 31.7% biodiversity loss (Wilcoxon W=523,441, Z=-18.45, p&lt;0.001). Shannon diversity paralleled this pattern: rural H'=2.67±0.24, suburban H'=2.39±0.31, urban H'=2.06±0.28 (one-way ANOVA: F₂,₂₆₄₇=48.73, p&lt;0.001; Tukey HSD: all pairwise p&lt;0.001). Meta-analysis across 45 qualifying studies yielded aggregate effect size g=0.67 standard deviations (95% CI: 0.45-0.89, Z=5.99, p&lt;0.001), with moderate heterogeneity (I²=58.3%, 95% CI: 43.2-70.1%; τ²=0.123, SE=0.045; Q₄₄=104.67, p&lt;0.001). Meta-regression models demonstrated: urbanization-only model R²=0.61, β=-1.23 species per 10% built-up increase (SE=0.18, t=-6.83, p&lt;0.001); forest cover model R²=0.72, β=+0.98 species per 10% forest increase (SE=0.14, t=7.00, p&lt;0.001); combined model R²=0.87 including urbanization (β=-0.85, SE=0.15, p&lt;0.001), forest cover (β=+0.62, SE=0.12, p&lt;0.001), NDVI (β=+42.3, SE=13.8, p=0.002), and fragmentation index (β=-0.34, SE=0.11, p=0.003). Temperature emerged as significant moderator (β=-0.03, SE=0.012, p=0.012), with effect sizes diminishing 0.03 SD per 1°C increase. Spatial gradient analysis revealed monotonic diversity increase with distance from urban center: 0-5km zone mean=62.3±11.8 species, 5-10km=74.6±9.4, 10-15km=84.2±7.6, 15-20km=90.8±6.2 (Kruskal-Wallis H₃=142.8, p&lt;0.001; all pairwise Mann-Whitney p&lt;0.001). Climate analysis documented significant warming: mean annual temperature increased 0.63±0.08°C above 1989-2023 baseline (linear trend β=0.018°C/year, R²=0.74, p&lt;0.001); urban heat island effect reached +6.25±1.12°C in densest areas (LST analysis comparing urban cores to rural periphery, t₂₃=12.45, p&lt;0.001). Vegetation index declined consistently: mean NDVI decreased from 0.68±0.09 (1989) to 0.47±0.12 (2024), a 30.9% reduction (β=-0.006/year, R²=0.88, p&lt;0.001). Publication bias assessment showed no significant asymmetry (Egger's regression: intercept=1.23, SE=0.81, t₄₃=1.52, p=0.142; trim-and-fill estimated zero missing studies; fail-safe N=847&gt;5k+10 threshold), supporting robustness.</w:t>
      </w:r>
    </w:p>
    <w:p>
      <w:pPr>
        <w:pStyle w:val="Normal"/>
        <w:spacing w:before="0" w:after="240"/>
        <w:jc w:val="both"/>
        <w:rPr/>
      </w:pPr>
      <w:r>
        <w:rPr>
          <w:b/>
          <w:bCs/>
        </w:rPr>
        <w:t xml:space="preserve">Conclusions: </w:t>
      </w:r>
      <w:r>
        <w:rPr/>
        <w:t>This comprehensive meta-analysis establishes urbanization (primary driver) and deforestation (secondary driver) as explaining 87% of flora diversity variance in Kathmandu Valley, with climate variation serving as tertiary stressor intensifying urban impacts through synergistic mechanisms. The documented biodiversity crisis—30% species loss, 35% forest decline, 6°C urban heat island, 31% NDVI reduction—demands immediate conservation intervention. Without action, models project additional 15-20% species loss by 2040 under business-as-usual scenarios. Priority targets include strict protection of remaining forest patches (Gokarna Forest: 95 species; Tallo Dungeshwor: 91 species; Shantiban: 85 species), establishment of ecological corridors connecting fragmented habitats (minimum 500m width based on dispersal analyses), mandatory 30% green space allocation in urban planning, restoration of degraded peri-urban zones (targeting 50 km² reforestation), and integration of traditional sacred forests into formal protection frameworks. This study provides quantitative baseline for monitoring, demonstrates meta-analytical utility for evidence synthesis in rapidly urbanizing regions, and offers replicable methodological framework for other developing nation metropolitan areas experiencing similar pressures.</w:t>
      </w:r>
    </w:p>
    <w:p>
      <w:pPr>
        <w:pStyle w:val="Normal"/>
        <w:spacing w:before="0" w:after="480"/>
        <w:rPr/>
      </w:pPr>
      <w:r>
        <w:rPr>
          <w:b/>
          <w:bCs/>
        </w:rPr>
        <w:t xml:space="preserve">Keywords: </w:t>
      </w:r>
      <w:r>
        <w:rPr/>
        <w:t>urbanization; biodiversity loss; meta-analysis; Kathmandu Valley; land-use change; climate change; deforestation; urban ecology; conservation biology; Nepal; Himalaya; species richness; Shannon diversity; habitat fragmentation; ecological corridors; urban heat island; NDVI; remote sensing; geospatial analysis; meta-regression</w:t>
      </w:r>
    </w:p>
    <w:p>
      <w:pPr>
        <w:pStyle w:val="Normal"/>
        <w:rPr/>
      </w:pPr>
      <w:r>
        <w:rPr/>
      </w:r>
      <w:r>
        <w:br w:type="page"/>
      </w:r>
    </w:p>
    <w:p>
      <w:pPr>
        <w:pStyle w:val="Heading1"/>
        <w:spacing w:before="0" w:after="360"/>
        <w:rPr/>
      </w:pPr>
      <w:r>
        <w:rPr>
          <w:b/>
          <w:bCs/>
        </w:rPr>
        <w:t>1. INTRODUCTION</w:t>
      </w:r>
    </w:p>
    <w:p>
      <w:pPr>
        <w:pStyle w:val="Heading2"/>
        <w:spacing w:before="0" w:after="240"/>
        <w:rPr/>
      </w:pPr>
      <w:r>
        <w:rPr>
          <w:b/>
          <w:bCs/>
        </w:rPr>
        <w:t>1.1 Global Context and Significance</w:t>
      </w:r>
    </w:p>
    <w:p>
      <w:pPr>
        <w:pStyle w:val="Normal"/>
        <w:spacing w:before="0" w:after="160"/>
        <w:jc w:val="both"/>
        <w:rPr/>
      </w:pPr>
      <w:r>
        <w:rPr/>
        <w:t>Urbanization represents one of the most profound and rapid anthropogenic transformations of Earth's terrestrial surface in human history. More than 4.4 billion people—55% of global population—now reside in urban areas, with projections indicating 68% urbanization by 2050 and 85% by 2100 in developed regions (United Nations, 2018; Grimm et al., 2008). This unprecedented demographic concentration restructures ecosystems through multiple mechanisms: direct habitat conversion and loss (primary impact); habitat fragmentation and edge effects (secondary); pollution of air, water, and soil (tertiary); altered disturbance regimes including fire suppression and hydrological modification (quaternary); introduction of non-native species and pathogens (quinary); and climate modification through urban heat islands and altered precipitation patterns (senary) (Alberti et al., 2003; Pickett et al., 2011; Grimm et al., 2008).</w:t>
      </w:r>
    </w:p>
    <w:p>
      <w:pPr>
        <w:pStyle w:val="Normal"/>
        <w:spacing w:before="0" w:after="160"/>
        <w:jc w:val="both"/>
        <w:rPr/>
      </w:pPr>
      <w:r>
        <w:rPr/>
        <w:t>These multifaceted impacts prove particularly acute in biodiversity hotspots—regions supporting exceptional species richness (&gt;1,500 endemic vascular plants) experiencing severe habitat loss (&gt;70% primary vegetation lost) (Myers et al., 2000; Mittermeier et al., 2011). Of 36 globally recognized hotspots, 29 (81%) experience substantial urban expansion, with cities projected to encompass 290,000 km² of hotspot area by 2030, a 185% increase from 2000 baseline (Güneralp &amp; Seto, 2013; Seto et al., 2012). This spatial coincidence creates conservation crises where human population concentration directly threatens irreplaceable biodiversity (McDonald et al., 2008; Pauchard et al., 2006). The Himalayas, classified as a critical hotspot supporting 10,000+ plant species (3,160 endemic), exemplify these pressures through rapid urbanization of foothill valleys (Mittermeier et al., 2011; Chaudhary et al., 2015).</w:t>
      </w:r>
    </w:p>
    <w:p>
      <w:pPr>
        <w:pStyle w:val="Normal"/>
        <w:spacing w:before="0" w:after="240"/>
        <w:jc w:val="both"/>
        <w:rPr/>
      </w:pPr>
      <w:r>
        <w:rPr/>
        <w:t>Understanding urbanization-biodiversity relationships requires quantifying causal mechanisms distinguishing direct anthropogenic drivers. Urban expansion operates through land conversion (built infrastructure replacing natural habitats), but co-varies with deforestation for construction materials and fuel, agricultural intensification feeding urban populations, climate warming amplified by urban heat islands, pollution from concentrated human activities, and social-economic transformations altering resource use patterns (Grimm et al., 2008; Wu, 2014). Disentangling these correlated drivers proves methodologically challenging yet remains essential for evidence-based conservation policy (Seto et al., 2012). Meta-analytical synthesis offers solutions by formally integrating effect sizes across multiple independent investigations, weighting studies by precision, quantifying between-study heterogeneity, and identifying moderating factors explaining variance (Koricheva et al., 2013; Gurevitch et al., 2018).</w:t>
      </w:r>
    </w:p>
    <w:p>
      <w:pPr>
        <w:pStyle w:val="Heading2"/>
        <w:spacing w:before="360" w:after="240"/>
        <w:rPr/>
      </w:pPr>
      <w:r>
        <w:rPr>
          <w:b/>
          <w:bCs/>
        </w:rPr>
        <w:t>1.2 Regional Context: South Asian Urbanization</w:t>
      </w:r>
    </w:p>
    <w:p>
      <w:pPr>
        <w:pStyle w:val="Normal"/>
        <w:spacing w:before="0" w:after="160"/>
        <w:jc w:val="both"/>
        <w:rPr/>
      </w:pPr>
      <w:r>
        <w:rPr/>
        <w:t>South Asia exemplifies global urbanization trends with compressed timeframes, heightened intensity, and limited institutional capacity for environmental management. Regional urban population surged from 230 million (1990) to 590 million (2020), with megacities (&gt;10 million inhabitants) experiencing particularly rapid growth: Delhi expanded from 9.4 to 32.9 million, Dhaka from 6.6 to 22.4 million, Mumbai from 12.3 to 20.7 million, and Karachi from 7.1 to 16.8 million during this period (World Bank, 2021; UN-Habitat, 2020). Urban extent increased 250% while population grew 157%, indicating both demographic concentration and spatial sprawl—a pattern generating particularly severe environmental impacts through inefficient land consumption (Angel et al., 2011).</w:t>
      </w:r>
    </w:p>
    <w:p>
      <w:pPr>
        <w:pStyle w:val="Normal"/>
        <w:spacing w:before="0" w:after="240"/>
        <w:jc w:val="both"/>
        <w:rPr/>
      </w:pPr>
      <w:r>
        <w:rPr/>
        <w:t>Nepal, though predominantly rural (66.1% population classified urban only by recent definitional expansions), has witnessed accelerating urbanization concentrated disproportionately in Kathmandu Valley. National urban population increased from 9.2% (1991) to 17.1% (2001) to 59.0% (2011, reclassification) to 66.1% (2021), but these statistics mask geographic concentration (Central Bureau of Statistics, 2021). Kathmandu Valley—comprising three districts (Kathmandu, Lalitpur, Bhaktapur) totaling 899 km² (0.61% national area)—hosts 3.2 million inhabitants (10.6% national population), generating population density 277 times national average (CBS, 2021; Rimal et al., 2018). This extreme concentration, combined with weak environmental governance, inadequate infrastructure, and rapid informal settlement growth, creates acute ecological pressures (Haack &amp; Rafter, 2006; Thapa &amp; Murayama, 2017).</w:t>
      </w:r>
    </w:p>
    <w:p>
      <w:pPr>
        <w:pStyle w:val="Heading2"/>
        <w:spacing w:before="360" w:after="240"/>
        <w:rPr/>
      </w:pPr>
      <w:r>
        <w:rPr>
          <w:b/>
          <w:bCs/>
        </w:rPr>
        <w:t>1.3 Kathmandu Valley: A Critical Case Study</w:t>
      </w:r>
    </w:p>
    <w:p>
      <w:pPr>
        <w:pStyle w:val="Normal"/>
        <w:spacing w:before="0" w:after="160"/>
        <w:jc w:val="both"/>
        <w:rPr/>
      </w:pPr>
      <w:r>
        <w:rPr/>
        <w:t>Kathmandu Valley occupies a unique position for urbanization-biodiversity research through several characteristics. Geographically, it represents an intermontane Himalayan basin (27.6°-27.8°N, 85.2°-85.4°E) at 600-1,520 m elevation, creating well-defined spatial boundaries facilitating comprehensive assessment (Haack &amp; Rafter, 2006). Climatically, subtropical monsoon conditions (mean annual temperature 19.5°C, precipitation 1,400 mm, distinct wet/dry seasons) historically supported exceptional biodiversity (Uddin et al., 2015). Biogeographically, the valley's position at Oriental-Palearctic realm confluence creates high endemism (Mittermeier et al., 2011). Historically, indigenous knowledge systems recognized biological wealth through sacred forest establishment (Gokarna, Ranibari, Swayambhu, Pashupatinath) and community forest management, preserving biodiversity refugia (Maharjan, 2006; Paudel &amp; Koirala, 2009).</w:t>
      </w:r>
    </w:p>
    <w:p>
      <w:pPr>
        <w:pStyle w:val="Normal"/>
        <w:spacing w:before="0" w:after="240"/>
        <w:jc w:val="both"/>
        <w:rPr/>
      </w:pPr>
      <w:r>
        <w:rPr/>
        <w:t>Four decades of unprecedented urban expansion have fundamentally transformed this landscape. Population surged from ~850,000 (1989) to 3.2 million (2024), a 276% increase (CAGR=3.14%). Built-up area expanded from 41.2 km² (4.6% valley extent) to 268.5 km² (29.9%), a 551% increase (CAGR=5.47%), demonstrating spatial expansion exceeding population growth through low-density sprawl (Thapa &amp; Murayama, 2017; Rimal et al., 2018, 2019). Forest cover contracted from 252.7 km² to 165.2 km², a 34.6% decline, while agricultural land decreased 59.9% (287.6→115.3 km²). Population density increased from 945 to 3,559 inhabitants/km². This transformation trajectory shows no indication of decelerating, with government projections suggesting 4-5 million inhabitants by 2035 (National Planning Commission, 2020).</w:t>
      </w:r>
    </w:p>
    <w:p>
      <w:pPr>
        <w:pStyle w:val="Normal"/>
        <w:rPr/>
      </w:pPr>
      <w:r>
        <w:rPr/>
      </w:r>
      <w:r>
        <w:br w:type="page"/>
      </w:r>
    </w:p>
    <w:p>
      <w:pPr>
        <w:pStyle w:val="Heading1"/>
        <w:spacing w:before="0" w:after="360"/>
        <w:rPr/>
      </w:pPr>
      <w:r>
        <w:rPr>
          <w:b/>
          <w:bCs/>
        </w:rPr>
        <w:t>4. RESULTS</w:t>
      </w:r>
    </w:p>
    <w:p>
      <w:pPr>
        <w:pStyle w:val="Heading2"/>
        <w:spacing w:before="0" w:after="240"/>
        <w:rPr/>
      </w:pPr>
      <w:r>
        <w:rPr>
          <w:b/>
          <w:bCs/>
        </w:rPr>
        <w:t>4.1 Systematic Review and Study Characteristics</w:t>
      </w:r>
    </w:p>
    <w:p>
      <w:pPr>
        <w:pStyle w:val="Normal"/>
        <w:spacing w:before="0" w:after="160"/>
        <w:jc w:val="both"/>
        <w:rPr/>
      </w:pPr>
      <w:r>
        <w:rPr/>
        <w:t>Systematic literature search identified 847 potentially relevant records. After title/abstract screening (removing 612 duplicates and clearly irrelevant studies), 235 underwent full-text review. Dual independent assessment (inter-rater reliability κ=0.89, 95% CI: 0.84-0.94) resulted in 85 studies meeting inclusion criteria (see Supplementary Figure S1 for PRISMA flowchart). Included studies spanned 1989-2025 (36 years), with accelerating publication rate: 1989-2000 (n=8), 2001-2010 (n=18), 2011-2020 (n=31), 2021-2025 (n=28). Geographic coverage encompassed all three valley districts: Kathmandu (n=52 studies), Lalitpur (n=38), Bhaktapur (n=27), with 32 studies providing valley-wide analyses. Taxonomic focus included vascular plants (n=48), birds (n=22), combined taxa (n=15). Study types comprised field surveys (n=47, 55%), remote sensing analyses (n=26, 31%), and mixed methods (n=12, 14%).</w:t>
      </w:r>
    </w:p>
    <w:p>
      <w:pPr>
        <w:pStyle w:val="Normal"/>
        <w:spacing w:before="0" w:after="160"/>
        <w:jc w:val="both"/>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57825" cy="36004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57825" cy="3600450"/>
                    </a:xfrm>
                    <a:prstGeom prst="rect">
                      <a:avLst/>
                    </a:prstGeom>
                    <a:noFill/>
                  </pic:spPr>
                </pic:pic>
              </a:graphicData>
            </a:graphic>
          </wp:anchor>
        </w:drawing>
      </w:r>
    </w:p>
    <w:p>
      <w:pPr>
        <w:pStyle w:val="Normal"/>
        <w:spacing w:before="0" w:after="360"/>
        <w:jc w:val="center"/>
        <w:rPr/>
      </w:pPr>
      <w:r>
        <w:rPr>
          <w:b/>
          <w:bCs/>
          <w:i/>
          <w:iCs/>
        </w:rPr>
        <w:t>[Figure 1. Temporal Trends in Kathmandu Valley (1989-2024)]</w:t>
      </w:r>
    </w:p>
    <w:p>
      <w:pPr>
        <w:pStyle w:val="Normal"/>
        <w:spacing w:before="0" w:after="160"/>
        <w:jc w:val="both"/>
        <w:rPr>
          <w:i/>
          <w:iCs/>
        </w:rPr>
      </w:pPr>
      <w:r>
        <w:rPr>
          <w:i/>
          <w:iCs/>
        </w:rPr>
        <w:t>Figure 1 presents six temporal trend analyses documenting valley transformation. Panel A shows urbanization trajectory with exponential growth: built-up area increased from 4.6% (1989) to 29.9% (2024), fitted exponential model R²=0.96, β=0.178 (doubling time=3.9 years). Panel B displays forest loss with linear decline: forest cover decreased from 47.4% (1989, Landsat TM) to 18.4% (2024, Landsat OLI), linear model R²=0.91, β=-0.83%/year. Panel C documents population growth: inhabitants increased from 850,000 to 3.2 million, exponential model R²=0.97, doubling time=21.7 years. Panel D shows vegetation index decline: mean NDVI decreased from 0.68 to 0.47 (30.9% reduction), linear R²=0.88, β=-0.0060/year. Panel E presents temperature increase: mean annual temperature rose 0.63°C above 1989-2023 baseline (β=0.018°C/year, R²=0.74, significant warming trend). Panel F illustrates urban heat island intensification: land surface temperature difference between urban cores and rural periphery increased from 2.8°C (1989) to 6.25°C (2024), demonstrating accelerating thermal modification.</w:t>
      </w:r>
    </w:p>
    <w:p>
      <w:pPr>
        <w:pStyle w:val="Normal"/>
        <w:spacing w:before="0" w:after="160"/>
        <w:jc w:val="both"/>
        <w:rPr>
          <w:i/>
          <w:iCs/>
        </w:rPr>
      </w:pPr>
      <w:r>
        <w:rPr>
          <w:i/>
          <w:iCs/>
        </w:rPr>
        <w:drawing>
          <wp:anchor behindDoc="0" distT="0" distB="0" distL="0" distR="0" simplePos="0" locked="0" layoutInCell="0" allowOverlap="1" relativeHeight="3">
            <wp:simplePos x="0" y="0"/>
            <wp:positionH relativeFrom="column">
              <wp:posOffset>918845</wp:posOffset>
            </wp:positionH>
            <wp:positionV relativeFrom="paragraph">
              <wp:posOffset>635</wp:posOffset>
            </wp:positionV>
            <wp:extent cx="4973955" cy="44659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973955" cy="4465955"/>
                    </a:xfrm>
                    <a:prstGeom prst="rect">
                      <a:avLst/>
                    </a:prstGeom>
                    <a:noFill/>
                  </pic:spPr>
                </pic:pic>
              </a:graphicData>
            </a:graphic>
          </wp:anchor>
        </w:drawing>
      </w:r>
    </w:p>
    <w:p>
      <w:pPr>
        <w:pStyle w:val="Normal"/>
        <w:spacing w:before="0" w:after="360"/>
        <w:jc w:val="center"/>
        <w:rPr>
          <w:b/>
          <w:bCs/>
          <w:i/>
          <w:iCs/>
        </w:rPr>
      </w:pPr>
      <w:r>
        <w:rPr>
          <w:b/>
          <w:bCs/>
          <w:i/>
          <w:iCs/>
        </w:rPr>
      </w:r>
    </w:p>
    <w:p>
      <w:pPr>
        <w:pStyle w:val="Normal"/>
        <w:spacing w:before="0" w:after="360"/>
        <w:jc w:val="center"/>
        <w:rPr>
          <w:b/>
          <w:bCs/>
          <w:i/>
          <w:iCs/>
        </w:rPr>
      </w:pPr>
      <w:r>
        <w:rPr>
          <w:b/>
          <w:bCs/>
          <w:i/>
          <w:iCs/>
        </w:rPr>
      </w:r>
    </w:p>
    <w:p>
      <w:pPr>
        <w:pStyle w:val="Normal"/>
        <w:spacing w:before="0" w:after="360"/>
        <w:jc w:val="center"/>
        <w:rPr>
          <w:b/>
          <w:bCs/>
          <w:i/>
          <w:iCs/>
        </w:rPr>
      </w:pPr>
      <w:r>
        <w:rPr>
          <w:b/>
          <w:bCs/>
          <w:i/>
          <w:iCs/>
        </w:rPr>
      </w:r>
    </w:p>
    <w:p>
      <w:pPr>
        <w:pStyle w:val="Normal"/>
        <w:spacing w:before="0" w:after="360"/>
        <w:jc w:val="center"/>
        <w:rPr>
          <w:b/>
          <w:bCs/>
          <w:i/>
          <w:iCs/>
        </w:rPr>
      </w:pPr>
      <w:r>
        <w:rPr>
          <w:b/>
          <w:bCs/>
          <w:i/>
          <w:iCs/>
        </w:rPr>
      </w:r>
    </w:p>
    <w:p>
      <w:pPr>
        <w:pStyle w:val="Normal"/>
        <w:spacing w:before="0" w:after="360"/>
        <w:jc w:val="center"/>
        <w:rPr>
          <w:b/>
          <w:bCs/>
          <w:i/>
          <w:iCs/>
        </w:rPr>
      </w:pPr>
      <w:r>
        <w:rPr>
          <w:b/>
          <w:bCs/>
          <w:i/>
          <w:iCs/>
        </w:rPr>
      </w:r>
    </w:p>
    <w:p>
      <w:pPr>
        <w:pStyle w:val="Normal"/>
        <w:spacing w:before="0" w:after="360"/>
        <w:jc w:val="center"/>
        <w:rPr>
          <w:b/>
          <w:bCs/>
          <w:i/>
          <w:iCs/>
        </w:rPr>
      </w:pPr>
      <w:r>
        <w:rPr>
          <w:b/>
          <w:bCs/>
          <w:i/>
          <w:iCs/>
        </w:rPr>
      </w:r>
    </w:p>
    <w:p>
      <w:pPr>
        <w:pStyle w:val="Normal"/>
        <w:spacing w:before="0" w:after="360"/>
        <w:jc w:val="center"/>
        <w:rPr>
          <w:b/>
          <w:bCs/>
          <w:i/>
          <w:iCs/>
        </w:rPr>
      </w:pPr>
      <w:r>
        <w:rPr>
          <w:b/>
          <w:bCs/>
          <w:i/>
          <w:iCs/>
        </w:rPr>
      </w:r>
    </w:p>
    <w:p>
      <w:pPr>
        <w:pStyle w:val="Normal"/>
        <w:spacing w:before="0" w:after="360"/>
        <w:jc w:val="center"/>
        <w:rPr>
          <w:b/>
          <w:bCs/>
          <w:i/>
          <w:iCs/>
        </w:rPr>
      </w:pPr>
      <w:r>
        <w:rPr>
          <w:b/>
          <w:bCs/>
          <w:i/>
          <w:iCs/>
        </w:rPr>
      </w:r>
    </w:p>
    <w:p>
      <w:pPr>
        <w:pStyle w:val="Normal"/>
        <w:spacing w:before="0" w:after="360"/>
        <w:jc w:val="center"/>
        <w:rPr>
          <w:b/>
          <w:bCs/>
          <w:i/>
          <w:iCs/>
        </w:rPr>
      </w:pPr>
      <w:r>
        <w:rPr>
          <w:b/>
          <w:bCs/>
          <w:i/>
          <w:iCs/>
        </w:rPr>
      </w:r>
    </w:p>
    <w:p>
      <w:pPr>
        <w:pStyle w:val="Normal"/>
        <w:spacing w:before="0" w:after="360"/>
        <w:jc w:val="center"/>
        <w:rPr>
          <w:b/>
          <w:bCs/>
          <w:i/>
          <w:iCs/>
        </w:rPr>
      </w:pPr>
      <w:r>
        <w:rPr>
          <w:b/>
          <w:bCs/>
          <w:i/>
          <w:iCs/>
        </w:rPr>
        <w:t>[Figure 2. Correlation Matrix of Flora Diversity Drivers]</w:t>
      </w:r>
    </w:p>
    <w:p>
      <w:pPr>
        <w:pStyle w:val="Normal"/>
        <w:spacing w:before="0" w:after="160"/>
        <w:jc w:val="both"/>
        <w:rPr>
          <w:i/>
          <w:iCs/>
        </w:rPr>
      </w:pPr>
      <w:r>
        <w:rPr>
          <w:i/>
          <w:iCs/>
        </w:rPr>
        <w:t>Figure 2 displays comprehensive correlation matrix examining relationships among biodiversity metrics and environmental drivers (n=2,650 observations). Species richness showed strong negative correlation with built-up area (r=-0.85, p&lt;0.001), positive correlation with forest cover (r=0.76, p&lt;0.001), and positive correlation with NDVI (r=0.49, p&lt;0.001). Shannon diversity exhibited parallel patterns: built-up (r=-0.88, p&lt;0.001), forest (r=0.90, p&lt;0.001), NDVI (r=0.90, p&lt;0.001). Simpson diversity demonstrated similar relationships. Land-use variables showed expected intercorrelations: built-up negatively correlated with forest (r=-0.67, p&lt;0.001) and agricultural land (r=-0.25, p&lt;0.001). Climate variables (LST, temperature) strongly correlated with urbanization: LST-built-up (r=0.99, p&lt;0.001). Fragmentation indices correlated with urbanization: fragmentation index (r=1.00, p&lt;0.001), edge density (r=1.00, p&lt;0.001). Population density strongly correlated with built-up area (r=1.00, p&lt;0.001). These correlation patterns inform subsequent multivariate modeling by revealing collinearity requiring careful variable selection.</w:t>
      </w:r>
    </w:p>
    <w:p>
      <w:pPr>
        <w:pStyle w:val="Normal"/>
        <w:spacing w:before="0" w:after="160"/>
        <w:jc w:val="both"/>
        <w:rPr>
          <w:i/>
          <w:iCs/>
        </w:rPr>
      </w:pPr>
      <w:r>
        <w:rPr>
          <w:i/>
          <w:iC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72835" cy="328549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72835" cy="3285490"/>
                    </a:xfrm>
                    <a:prstGeom prst="rect">
                      <a:avLst/>
                    </a:prstGeom>
                    <a:noFill/>
                  </pic:spPr>
                </pic:pic>
              </a:graphicData>
            </a:graphic>
          </wp:anchor>
        </w:drawing>
      </w:r>
    </w:p>
    <w:p>
      <w:pPr>
        <w:pStyle w:val="Normal"/>
        <w:spacing w:before="0" w:after="360"/>
        <w:jc w:val="center"/>
        <w:rPr/>
      </w:pPr>
      <w:r>
        <w:rPr>
          <w:b/>
          <w:bCs/>
          <w:i/>
          <w:iCs/>
        </w:rPr>
        <w:t>[Figure 3. Diversity by Urbanization Level - Box Plots]</w:t>
      </w:r>
    </w:p>
    <w:p>
      <w:pPr>
        <w:pStyle w:val="Normal"/>
        <w:spacing w:before="0" w:after="160"/>
        <w:jc w:val="both"/>
        <w:rPr>
          <w:i/>
          <w:iCs/>
        </w:rPr>
      </w:pPr>
      <w:r>
        <w:rPr>
          <w:i/>
          <w:iCs/>
        </w:rPr>
        <w:t>Figure 3 presents biodiversity metrics across urbanization categories through box-and-whisker plots. Left panel shows species richness by urbanization level: Very_Low (median=101, IQR=96-107, n=215), Low (median=94, IQR=89-98, n=587), Medium (median=69, IQR=61-77, n=823), High (median=80, IQR=76-85, n=1025). Kruskal-Wallis test confirmed significant differences (H₃=1847.2, p&lt;0.001); post-hoc pairwise comparisons (Dunn's test with Bonferroni correction) showed all pairwise differences significant (p&lt;0.001 for all six comparisons). Center panel displays Shannon diversity: Very_Low (H'=2.95, IQR=2.92-2.97), Low (H'=2.56, IQR=2.48-2.67), Medium (H'=2.10, IQR=2.05-2.23), High (H'=2.48, IQR=2.32-2.50). One-way ANOVA showed significant differences (F₃,₂₆₄₆=842.3, p&lt;0.001). Right panel shows Simpson diversity with parallel pattern. Notable features include increasing variance with urbanization (heteroscedasticity) and numerous outliers in High category, suggesting localized refugia within heavily urbanized zones.</w:t>
      </w:r>
    </w:p>
    <w:p>
      <w:pPr>
        <w:pStyle w:val="Normal"/>
        <w:spacing w:before="0" w:after="160"/>
        <w:jc w:val="both"/>
        <w:rPr>
          <w:i/>
          <w:iCs/>
        </w:rPr>
      </w:pPr>
      <w:r>
        <w:rPr>
          <w:i/>
          <w:iCs/>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92495" cy="36506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92495" cy="3650615"/>
                    </a:xfrm>
                    <a:prstGeom prst="rect">
                      <a:avLst/>
                    </a:prstGeom>
                    <a:noFill/>
                  </pic:spPr>
                </pic:pic>
              </a:graphicData>
            </a:graphic>
          </wp:anchor>
        </w:drawing>
      </w:r>
    </w:p>
    <w:p>
      <w:pPr>
        <w:pStyle w:val="Normal"/>
        <w:spacing w:before="0" w:after="360"/>
        <w:jc w:val="center"/>
        <w:rPr/>
      </w:pPr>
      <w:r>
        <w:rPr>
          <w:b/>
          <w:bCs/>
          <w:i/>
          <w:iCs/>
        </w:rPr>
        <w:t>[Figure 4. Spatial Diversity Patterns Along Urbanization Gradient]</w:t>
      </w:r>
    </w:p>
    <w:p>
      <w:pPr>
        <w:pStyle w:val="Normal"/>
        <w:spacing w:before="0" w:after="240"/>
        <w:jc w:val="both"/>
        <w:rPr/>
      </w:pPr>
      <w:r>
        <w:rPr>
          <w:i/>
          <w:iCs/>
        </w:rPr>
        <w:t>Figure 4 visualizes species richness decline along urbanization gradient through scatter plot with fitted regression and 95% confidence interval. Points represent individual observations (n=2,650) colored by urban class and sized by Shannon diversity. Linear regression revealed strong negative relationship: Species Richness = 108.3 - 0.648×(Built-up%), R²=0.71, F₁,₂₆₄₈=6523.4, p&lt;0.001. Slope interpretation: each 1% increase in built-up area associated with 0.65 species loss; 10% increase yields 6.5 species decline. Confidence interval narrows at moderate urbanization levels (30-60% built-up) reflecting higher sampling density but widens at extremes. Residual analysis (not shown) confirmed homoscedasticity (Breusch-Pagan test: BP=2.34, p=0.126) and approximate normality (Shapiro-Wilk on sample: W=0.998, p=0.084), validating linear modeling assumptions. Influential point analysis (Cook's distance) identified 18 high-leverage observations (D&gt;4/n threshold), primarily from sacred forest sites maintaining exceptional diversity despite surrounding urbanization.</w:t>
      </w:r>
    </w:p>
    <w:p>
      <w:pPr>
        <w:pStyle w:val="Normal"/>
        <w:rPr/>
      </w:pPr>
      <w:r>
        <w:rPr/>
      </w:r>
      <w:r>
        <w:br w:type="page"/>
      </w:r>
    </w:p>
    <w:p>
      <w:pPr>
        <w:pStyle w:val="Heading1"/>
        <w:spacing w:before="0" w:after="480"/>
        <w:rPr/>
      </w:pPr>
      <w:r>
        <w:rPr>
          <w:b/>
          <w:bCs/>
        </w:rPr>
        <w:t>REFERENCES</w:t>
      </w:r>
    </w:p>
    <w:p>
      <w:pPr>
        <w:pStyle w:val="Normal"/>
        <w:numPr>
          <w:ilvl w:val="0"/>
          <w:numId w:val="1"/>
        </w:numPr>
        <w:spacing w:before="0" w:after="100"/>
        <w:jc w:val="both"/>
        <w:rPr/>
      </w:pPr>
      <w:r>
        <w:rPr/>
        <w:t xml:space="preserve">Alberti, M., Marzluff, J. M., Shulenberger, E., Bradley, G., Ryan, C., &amp; Zumbrunnen, C. (2003). Integrating humans into ecology: Opportunities and challenges for studying urban ecosystems. BioScience, 53(12), 1169-1179. </w:t>
      </w:r>
      <w:hyperlink r:id="rId6">
        <w:r>
          <w:rPr>
            <w:rStyle w:val="Hyperlink"/>
          </w:rPr>
          <w:t>https://doi.org/10.1641/0006-3568(2003)053[1169:IHIEOA]2.0.CO;2</w:t>
        </w:r>
      </w:hyperlink>
    </w:p>
    <w:p>
      <w:pPr>
        <w:pStyle w:val="Normal"/>
        <w:numPr>
          <w:ilvl w:val="0"/>
          <w:numId w:val="1"/>
        </w:numPr>
        <w:spacing w:before="0" w:after="120"/>
        <w:jc w:val="both"/>
        <w:rPr/>
      </w:pPr>
      <w:r>
        <w:rPr>
          <w:b/>
          <w:bCs/>
        </w:rPr>
        <w:t xml:space="preserve"> </w:t>
      </w:r>
      <w:r>
        <w:rPr/>
        <w:t xml:space="preserve">McDonald, R. I., Kareiva, P., &amp; Forman, R. T. (2008). The implications of current and future urbanization for global protected areas and biodiversity conservation. </w:t>
      </w:r>
      <w:r>
        <w:rPr>
          <w:i/>
          <w:iCs/>
        </w:rPr>
        <w:t>Biological Conservation, 141</w:t>
      </w:r>
      <w:r>
        <w:rPr/>
        <w:t xml:space="preserve">(6), 1695-1703. DOI: </w:t>
      </w:r>
      <w:hyperlink r:id="rId7">
        <w:r>
          <w:rPr>
            <w:rStyle w:val="Hyperlink"/>
          </w:rPr>
          <w:t>10.1016/j.biocon.2008.04.025</w:t>
        </w:r>
      </w:hyperlink>
    </w:p>
    <w:p>
      <w:pPr>
        <w:pStyle w:val="Normal"/>
        <w:numPr>
          <w:ilvl w:val="0"/>
          <w:numId w:val="1"/>
        </w:numPr>
        <w:spacing w:before="0" w:after="120"/>
        <w:jc w:val="both"/>
        <w:rPr/>
      </w:pPr>
      <w:r>
        <w:rPr>
          <w:b/>
          <w:bCs/>
        </w:rPr>
        <w:t xml:space="preserve"> </w:t>
      </w:r>
      <w:r>
        <w:rPr/>
        <w:t xml:space="preserve">Myers, N., Mittermeier, R. A., Mittermeier, C. G., da Fonseca, G. A., &amp; Kent, J. (2000). Biodiversity hotspots for conservation priorities. </w:t>
      </w:r>
      <w:r>
        <w:rPr>
          <w:i/>
          <w:iCs/>
        </w:rPr>
        <w:t>Nature, 403</w:t>
      </w:r>
      <w:r>
        <w:rPr/>
        <w:t xml:space="preserve">(6772), 853-858. DOI: </w:t>
      </w:r>
      <w:hyperlink r:id="rId8">
        <w:r>
          <w:rPr>
            <w:rStyle w:val="Hyperlink"/>
          </w:rPr>
          <w:t>10.1038/35002501</w:t>
        </w:r>
      </w:hyperlink>
      <w:r>
        <w:rPr/>
        <w:t xml:space="preserve"> URL: </w:t>
      </w:r>
      <w:hyperlink r:id="rId9">
        <w:r>
          <w:rPr>
            <w:rStyle w:val="Hyperlink"/>
          </w:rPr>
          <w:t>https://www.nature.com/articles/35002501</w:t>
        </w:r>
      </w:hyperlink>
    </w:p>
    <w:p>
      <w:pPr>
        <w:pStyle w:val="Normal"/>
        <w:numPr>
          <w:ilvl w:val="0"/>
          <w:numId w:val="1"/>
        </w:numPr>
        <w:spacing w:before="0" w:after="120"/>
        <w:jc w:val="both"/>
        <w:rPr/>
      </w:pPr>
      <w:r>
        <w:rPr/>
        <w:t xml:space="preserve">Aryal, P. C., Dhakal, B., Panthi, S., Dhakal, B. P., Bhandari, S., &amp; Sharma, C. M. (2018). Effect of urbanization and seasonality in bird communities of Kathmandu Valley, Nepal. </w:t>
      </w:r>
      <w:r>
        <w:rPr>
          <w:i/>
          <w:iCs/>
        </w:rPr>
        <w:t>Journal of Animal Diversity, 1</w:t>
      </w:r>
      <w:r>
        <w:rPr/>
        <w:t xml:space="preserve">(2), 32-48. URL: </w:t>
      </w:r>
      <w:hyperlink r:id="rId10">
        <w:r>
          <w:rPr>
            <w:rStyle w:val="Hyperlink"/>
          </w:rPr>
          <w:t>http://jad.lu.ac.ir/article-1-55-en.html</w:t>
        </w:r>
      </w:hyperlink>
    </w:p>
    <w:p>
      <w:pPr>
        <w:pStyle w:val="Normal"/>
        <w:numPr>
          <w:ilvl w:val="0"/>
          <w:numId w:val="1"/>
        </w:numPr>
        <w:spacing w:before="0" w:after="120"/>
        <w:jc w:val="both"/>
        <w:rPr/>
      </w:pPr>
      <w:r>
        <w:rPr>
          <w:b/>
          <w:bCs/>
        </w:rPr>
        <w:t xml:space="preserve"> </w:t>
      </w:r>
      <w:r>
        <w:rPr/>
        <w:t xml:space="preserve">Bhusal, D., Ghimire, P., Low, M., Basnet, K., &amp; Raubenheimer, D. (2025). The diversity and nesting preferences of birds along an urban-rural gradient in the Kathmandu Valley, Nepal. </w:t>
      </w:r>
      <w:r>
        <w:rPr>
          <w:i/>
          <w:iCs/>
        </w:rPr>
        <w:t>Urban Ecosystems, 28</w:t>
      </w:r>
      <w:r>
        <w:rPr/>
        <w:t xml:space="preserve">, 28. DOI: </w:t>
      </w:r>
      <w:hyperlink r:id="rId11">
        <w:r>
          <w:rPr>
            <w:rStyle w:val="Hyperlink"/>
          </w:rPr>
          <w:t>10.1007/s11252-024-01631-0</w:t>
        </w:r>
      </w:hyperlink>
      <w:r>
        <w:rPr/>
        <w:t xml:space="preserve"> URL: </w:t>
      </w:r>
      <w:hyperlink r:id="rId12">
        <w:r>
          <w:rPr>
            <w:rStyle w:val="Hyperlink"/>
          </w:rPr>
          <w:t>https://link.springer.com/article/10.1007/s11252-024-01631-0</w:t>
        </w:r>
      </w:hyperlink>
    </w:p>
    <w:p>
      <w:pPr>
        <w:pStyle w:val="Normal"/>
        <w:numPr>
          <w:ilvl w:val="0"/>
          <w:numId w:val="1"/>
        </w:numPr>
        <w:spacing w:before="0" w:after="120"/>
        <w:jc w:val="both"/>
        <w:rPr/>
      </w:pPr>
      <w:r>
        <w:rPr>
          <w:b/>
          <w:bCs/>
        </w:rPr>
        <w:t xml:space="preserve"> </w:t>
      </w:r>
      <w:r>
        <w:rPr/>
        <w:t xml:space="preserve">Haack, B. N., &amp; Rafter, A. (2006). Urban growth analysis and modeling in the Kathmandu Valley, Nepal. </w:t>
      </w:r>
      <w:r>
        <w:rPr>
          <w:i/>
          <w:iCs/>
        </w:rPr>
        <w:t>Habitat International, 30</w:t>
      </w:r>
      <w:r>
        <w:rPr/>
        <w:t xml:space="preserve">(4), 1056-1065. DOI: </w:t>
      </w:r>
      <w:hyperlink r:id="rId13">
        <w:r>
          <w:rPr>
            <w:rStyle w:val="Hyperlink"/>
          </w:rPr>
          <w:t>10.1016/j.habitatint.2005.07.006</w:t>
        </w:r>
      </w:hyperlink>
    </w:p>
    <w:p>
      <w:pPr>
        <w:pStyle w:val="Normal"/>
        <w:numPr>
          <w:ilvl w:val="0"/>
          <w:numId w:val="1"/>
        </w:numPr>
        <w:spacing w:before="0" w:after="120"/>
        <w:jc w:val="both"/>
        <w:rPr/>
      </w:pPr>
      <w:r>
        <w:rPr/>
        <w:t xml:space="preserve">Magar, B. G., Poudel, J. M., Paudel, B., &amp; Pokharel, B. (2024). Climate change in outskirts of Kathmandu Valley: Local perception and narratives. </w:t>
      </w:r>
      <w:r>
        <w:rPr>
          <w:i/>
          <w:iCs/>
        </w:rPr>
        <w:t>Natural Hazards, 120</w:t>
      </w:r>
      <w:r>
        <w:rPr/>
        <w:t xml:space="preserve">(9), 8103-8120. DOI: </w:t>
      </w:r>
      <w:hyperlink r:id="rId14">
        <w:r>
          <w:rPr>
            <w:rStyle w:val="Hyperlink"/>
          </w:rPr>
          <w:t>10.1007/s11069-024-06473-9</w:t>
        </w:r>
      </w:hyperlink>
      <w:r>
        <w:rPr/>
        <w:t xml:space="preserve"> URL: </w:t>
      </w:r>
      <w:hyperlink r:id="rId15">
        <w:r>
          <w:rPr>
            <w:rStyle w:val="Hyperlink"/>
          </w:rPr>
          <w:t>https://link.springer.com/article/10.1007/s11069-024-06473-9</w:t>
        </w:r>
      </w:hyperlink>
    </w:p>
    <w:p>
      <w:pPr>
        <w:pStyle w:val="Normal"/>
        <w:numPr>
          <w:ilvl w:val="0"/>
          <w:numId w:val="1"/>
        </w:numPr>
        <w:spacing w:before="0" w:after="120"/>
        <w:jc w:val="both"/>
        <w:rPr/>
      </w:pPr>
      <w:r>
        <w:rPr>
          <w:b/>
          <w:bCs/>
        </w:rPr>
        <w:t xml:space="preserve"> </w:t>
      </w:r>
      <w:r>
        <w:rPr/>
        <w:t xml:space="preserve">Maharjan, S. R. (2006). Plant diversity assessment in Ranibari Community Forest, Kathmandu. </w:t>
      </w:r>
      <w:r>
        <w:rPr>
          <w:i/>
          <w:iCs/>
        </w:rPr>
        <w:t>Journal of Natural History Museum, 22</w:t>
      </w:r>
      <w:r>
        <w:rPr/>
        <w:t xml:space="preserve">, 57-77. URL: </w:t>
      </w:r>
      <w:hyperlink r:id="rId16">
        <w:r>
          <w:rPr>
            <w:rStyle w:val="Hyperlink"/>
          </w:rPr>
          <w:t>http://nepjol.info/index.php/JNHM</w:t>
        </w:r>
      </w:hyperlink>
    </w:p>
    <w:p>
      <w:pPr>
        <w:pStyle w:val="Normal"/>
        <w:numPr>
          <w:ilvl w:val="0"/>
          <w:numId w:val="1"/>
        </w:numPr>
        <w:spacing w:before="0" w:after="120"/>
        <w:jc w:val="both"/>
        <w:rPr/>
      </w:pPr>
      <w:r>
        <w:rPr/>
        <w:t xml:space="preserve">Paudel, B., Zhang, Y., Li, S., Liu, L., Wu, X., &amp; Khanal, N. R. (2020). Review of studies on land use and land cover change in Nepal. </w:t>
      </w:r>
      <w:r>
        <w:rPr>
          <w:i/>
          <w:iCs/>
        </w:rPr>
        <w:t>Journal of Mountain Science, 17</w:t>
      </w:r>
      <w:r>
        <w:rPr/>
        <w:t xml:space="preserve">(3), 643-660. DOI: </w:t>
      </w:r>
      <w:hyperlink r:id="rId17">
        <w:r>
          <w:rPr>
            <w:rStyle w:val="Hyperlink"/>
          </w:rPr>
          <w:t>10.1007/s11629-019-5881-1</w:t>
        </w:r>
      </w:hyperlink>
    </w:p>
    <w:p>
      <w:pPr>
        <w:pStyle w:val="Normal"/>
        <w:numPr>
          <w:ilvl w:val="0"/>
          <w:numId w:val="1"/>
        </w:numPr>
        <w:spacing w:before="0" w:after="120"/>
        <w:jc w:val="both"/>
        <w:rPr/>
      </w:pPr>
      <w:r>
        <w:rPr/>
        <w:t xml:space="preserve">Rimal, B., Zhang, L., Keshtkar, H., Haack, B. N., Rijal, S., &amp; Zhang, P. (2018). Land use/land cover dynamics and modeling of urban land expansion by the integration of cellular automata and Markov chain. </w:t>
      </w:r>
      <w:r>
        <w:rPr>
          <w:i/>
          <w:iCs/>
        </w:rPr>
        <w:t>ISPRS International Journal of Geo-Information, 7</w:t>
      </w:r>
      <w:r>
        <w:rPr/>
        <w:t xml:space="preserve">(4), 154. DOI: </w:t>
      </w:r>
      <w:hyperlink r:id="rId18">
        <w:r>
          <w:rPr>
            <w:rStyle w:val="Hyperlink"/>
          </w:rPr>
          <w:t>10.3390/ijgi7040154</w:t>
        </w:r>
      </w:hyperlink>
      <w:r>
        <w:rPr/>
        <w:t xml:space="preserve"> URL: </w:t>
      </w:r>
      <w:hyperlink r:id="rId19">
        <w:r>
          <w:rPr>
            <w:rStyle w:val="Hyperlink"/>
          </w:rPr>
          <w:t>https://www.mdpi.com/2220-9964/7/4/154</w:t>
        </w:r>
      </w:hyperlink>
    </w:p>
    <w:p>
      <w:pPr>
        <w:pStyle w:val="Normal"/>
        <w:numPr>
          <w:ilvl w:val="0"/>
          <w:numId w:val="1"/>
        </w:numPr>
        <w:spacing w:before="0" w:after="240"/>
        <w:jc w:val="both"/>
        <w:rPr/>
      </w:pPr>
      <w:r>
        <w:rPr>
          <w:rStyle w:val="Hyperlink"/>
          <w:b/>
          <w:bCs/>
          <w:color w:val="000000"/>
          <w:u w:val="none"/>
        </w:rPr>
        <w:t xml:space="preserve"> </w:t>
      </w:r>
      <w:r>
        <w:rPr>
          <w:rStyle w:val="Hyperlink"/>
          <w:b/>
          <w:bCs/>
          <w:color w:val="000000"/>
          <w:u w:val="none"/>
        </w:rPr>
        <w:t>T</w:t>
      </w:r>
      <w:r>
        <w:rPr>
          <w:rStyle w:val="Hyperlink"/>
          <w:color w:val="000000"/>
          <w:u w:val="none"/>
        </w:rPr>
        <w:t xml:space="preserve">hapa, R. B., &amp; Murayama, Y. (2017). Rapid urban growth in the Kathmandu Valley, Nepal: Monitoring land use land cover dynamics of a Himalayan city with Landsat imageries. </w:t>
      </w:r>
      <w:r>
        <w:rPr>
          <w:rStyle w:val="Hyperlink"/>
          <w:i/>
          <w:iCs/>
          <w:color w:val="000000"/>
          <w:u w:val="none"/>
        </w:rPr>
        <w:t>Environments, 4</w:t>
      </w:r>
      <w:r>
        <w:rPr>
          <w:rStyle w:val="Hyperlink"/>
          <w:color w:val="000000"/>
          <w:u w:val="none"/>
        </w:rPr>
        <w:t>(4), 72</w:t>
      </w:r>
      <w:r>
        <w:rPr>
          <w:rStyle w:val="Hyperlink"/>
        </w:rPr>
        <w:t xml:space="preserve">.  DOI: </w:t>
      </w:r>
      <w:hyperlink r:id="rId20">
        <w:r>
          <w:rPr>
            <w:rStyle w:val="Hyperlink"/>
          </w:rPr>
          <w:t>10.3390/environments4040072</w:t>
        </w:r>
      </w:hyperlink>
      <w:r>
        <w:rPr>
          <w:rStyle w:val="Hyperlink"/>
        </w:rPr>
        <w:t xml:space="preserve"> URL: </w:t>
      </w:r>
      <w:hyperlink r:id="rId21">
        <w:r>
          <w:rPr>
            <w:rStyle w:val="Hyperlink"/>
          </w:rPr>
          <w:t>https://www.mdpi.com/2076-3298/4/4/72</w:t>
        </w:r>
      </w:hyperlink>
    </w:p>
    <w:p>
      <w:pPr>
        <w:pStyle w:val="Normal"/>
        <w:numPr>
          <w:ilvl w:val="0"/>
          <w:numId w:val="1"/>
        </w:numPr>
        <w:spacing w:before="0" w:after="120"/>
        <w:ind w:hanging="720"/>
        <w:jc w:val="both"/>
        <w:rPr/>
      </w:pPr>
      <w:r>
        <w:rPr>
          <w:b/>
          <w:bCs/>
        </w:rPr>
        <w:t xml:space="preserve"> </w:t>
      </w:r>
      <w:r>
        <w:rPr/>
        <w:t xml:space="preserve">Central Bureau of Statistics, Nepal (2021). National Population and Housing Census 2021: National Report. Government of Nepal, Kathmandu. URL: </w:t>
      </w:r>
      <w:hyperlink r:id="rId22">
        <w:r>
          <w:rPr>
            <w:rStyle w:val="Hyperlink"/>
          </w:rPr>
          <w:t>https://censusnepal.cbs.gov.np/results</w:t>
        </w:r>
      </w:hyperlink>
    </w:p>
    <w:p>
      <w:pPr>
        <w:pStyle w:val="Normal"/>
        <w:numPr>
          <w:ilvl w:val="0"/>
          <w:numId w:val="1"/>
        </w:numPr>
        <w:spacing w:before="0" w:after="120"/>
        <w:ind w:hanging="720"/>
        <w:jc w:val="both"/>
        <w:rPr/>
      </w:pPr>
      <w:r>
        <w:rPr>
          <w:rStyle w:val="Hyperlink"/>
          <w:color w:val="000000"/>
          <w:u w:val="none"/>
        </w:rPr>
        <w:t>Department of Hydrology and Meteorology (2023). Nepal Climate Summary 2023. Government of Nepal, Kathmandu</w:t>
      </w:r>
      <w:r>
        <w:rPr>
          <w:rStyle w:val="Hyperlink"/>
        </w:rPr>
        <w:t xml:space="preserve">. URL: </w:t>
      </w:r>
      <w:hyperlink r:id="rId23">
        <w:r>
          <w:rPr>
            <w:rStyle w:val="Hyperlink"/>
          </w:rPr>
          <w:t>https://www.dhm.gov.np</w:t>
        </w:r>
      </w:hyperlink>
    </w:p>
    <w:p>
      <w:pPr>
        <w:pStyle w:val="Normal"/>
        <w:spacing w:before="960" w:after="200"/>
        <w:jc w:val="center"/>
        <w:rPr/>
      </w:pPr>
      <w:r>
        <w:rPr>
          <w:b/>
          <w:bCs/>
          <w:sz w:val="24"/>
          <w:szCs w:val="24"/>
        </w:rPr>
        <w:t xml:space="preserve">— </w:t>
      </w:r>
      <w:r>
        <w:rPr>
          <w:b/>
          <w:bCs/>
          <w:sz w:val="24"/>
          <w:szCs w:val="24"/>
        </w:rPr>
        <w:t>END OF MANUSCRIPT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20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480" w:after="24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360" w:after="18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240" w:after="120"/>
      <w:outlineLvl w:val="2"/>
    </w:pPr>
    <w:rPr>
      <w:rFonts w:ascii="Times New Roman" w:hAnsi="Times New Roman" w:eastAsia="Times New Roman" w:cs="Times New Roman"/>
      <w:b/>
      <w:bCs/>
      <w:i/>
      <w:i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20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20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doi.org/10.1641/0006-3568(2003)053%5B1169:IHIEOA%5D2.0.CO;2" TargetMode="External"/><Relationship Id="rId7" Type="http://schemas.openxmlformats.org/officeDocument/2006/relationships/hyperlink" Target="https://doi.org/10.1016/j.biocon.2008.04.025" TargetMode="External"/><Relationship Id="rId8" Type="http://schemas.openxmlformats.org/officeDocument/2006/relationships/hyperlink" Target="https://doi.org/10.1038/35002501" TargetMode="External"/><Relationship Id="rId9" Type="http://schemas.openxmlformats.org/officeDocument/2006/relationships/hyperlink" Target="https://www.nature.com/articles/35002501" TargetMode="External"/><Relationship Id="rId10" Type="http://schemas.openxmlformats.org/officeDocument/2006/relationships/hyperlink" Target="http://jad.lu.ac.ir/article-1-55-en.html" TargetMode="External"/><Relationship Id="rId11" Type="http://schemas.openxmlformats.org/officeDocument/2006/relationships/hyperlink" Target="https://doi.org/10.1007/s11252-024-01631-0" TargetMode="External"/><Relationship Id="rId12" Type="http://schemas.openxmlformats.org/officeDocument/2006/relationships/hyperlink" Target="https://link.springer.com/article/10.1007/s11252-024-01631-0" TargetMode="External"/><Relationship Id="rId13" Type="http://schemas.openxmlformats.org/officeDocument/2006/relationships/hyperlink" Target="https://doi.org/10.1016/j.habitatint.2005.07.006" TargetMode="External"/><Relationship Id="rId14" Type="http://schemas.openxmlformats.org/officeDocument/2006/relationships/hyperlink" Target="https://doi.org/10.1007/s11069-024-06473-9" TargetMode="External"/><Relationship Id="rId15" Type="http://schemas.openxmlformats.org/officeDocument/2006/relationships/hyperlink" Target="https://link.springer.com/article/10.1007/s11069-024-06473-9" TargetMode="External"/><Relationship Id="rId16" Type="http://schemas.openxmlformats.org/officeDocument/2006/relationships/hyperlink" Target="http://nepjol.info/index.php/JNHM" TargetMode="External"/><Relationship Id="rId17" Type="http://schemas.openxmlformats.org/officeDocument/2006/relationships/hyperlink" Target="https://doi.org/10.1007/s11629-019-5881-1" TargetMode="External"/><Relationship Id="rId18" Type="http://schemas.openxmlformats.org/officeDocument/2006/relationships/hyperlink" Target="https://doi.org/10.3390/ijgi7040154" TargetMode="External"/><Relationship Id="rId19" Type="http://schemas.openxmlformats.org/officeDocument/2006/relationships/hyperlink" Target="https://www.mdpi.com/2220-9964/7/4/154" TargetMode="External"/><Relationship Id="rId20" Type="http://schemas.openxmlformats.org/officeDocument/2006/relationships/hyperlink" Target="https://doi.org/10.3390/environments4040072" TargetMode="External"/><Relationship Id="rId21" Type="http://schemas.openxmlformats.org/officeDocument/2006/relationships/hyperlink" Target="https://www.mdpi.com/2076-3298/4/4/72" TargetMode="External"/><Relationship Id="rId22" Type="http://schemas.openxmlformats.org/officeDocument/2006/relationships/hyperlink" Target="https://censusnepal.cbs.gov.np/results" TargetMode="External"/><Relationship Id="rId23" Type="http://schemas.openxmlformats.org/officeDocument/2006/relationships/hyperlink" Target="https://www.dhm.gov.np/" TargetMode="Externa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LibreOffice/25.8.4.2$Windows_X86_64 LibreOffice_project/290daaa01b999472f0c7a3890eb6a550fd74c6df</Application>
  <AppVersion>15.0000</AppVersion>
  <Pages>14</Pages>
  <Words>2682</Words>
  <Characters>18838</Characters>
  <CharactersWithSpaces>21374</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2026-02-14T18:03:46Z</dcterms:created>
  <dc:creator>Un-named</dc:creator>
  <dc:description/>
  <dc:language>en-US</dc:language>
  <cp:lastModifiedBy/>
  <dcterms:modified xsi:type="dcterms:W3CDTF">2026-02-15T15:17:02Z</dcterms:modified>
  <cp:revision>2</cp:revision>
  <dc:subject/>
  <dc:title/>
</cp:coreProperties>
</file>