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BA7E7E" w14:textId="4F07632E" w:rsidR="004D08C8" w:rsidRPr="004E6FC2" w:rsidRDefault="003337EF" w:rsidP="006D62FE">
      <w:pPr>
        <w:pStyle w:val="ListParagraph"/>
        <w:spacing w:line="360" w:lineRule="auto"/>
        <w:jc w:val="center"/>
        <w:rPr>
          <w:rFonts w:asciiTheme="majorBidi" w:hAnsiTheme="majorBidi" w:cstheme="majorBidi"/>
          <w:b/>
          <w:bCs/>
          <w:color w:val="002060"/>
          <w:sz w:val="40"/>
          <w:szCs w:val="40"/>
        </w:rPr>
      </w:pPr>
      <w:r w:rsidRPr="004E6FC2">
        <w:rPr>
          <w:rFonts w:asciiTheme="majorBidi" w:hAnsiTheme="majorBidi" w:cstheme="majorBidi"/>
          <w:b/>
          <w:bCs/>
          <w:color w:val="002060"/>
          <w:sz w:val="40"/>
          <w:szCs w:val="40"/>
        </w:rPr>
        <w:t>Case Study 1</w:t>
      </w:r>
    </w:p>
    <w:p w14:paraId="6938B01D" w14:textId="3FECDCD4" w:rsidR="006D62FE" w:rsidRPr="004E6FC2" w:rsidRDefault="006D62FE" w:rsidP="006D62FE">
      <w:pPr>
        <w:spacing w:line="360" w:lineRule="auto"/>
        <w:ind w:left="360"/>
        <w:jc w:val="both"/>
        <w:rPr>
          <w:rFonts w:asciiTheme="majorBidi" w:hAnsiTheme="majorBidi" w:cstheme="majorBidi"/>
          <w:b/>
          <w:bCs/>
          <w:i/>
          <w:iCs/>
          <w:color w:val="002060"/>
          <w:sz w:val="32"/>
          <w:szCs w:val="32"/>
          <w:u w:val="single"/>
        </w:rPr>
      </w:pPr>
      <w:r w:rsidRPr="004E6FC2">
        <w:rPr>
          <w:rFonts w:asciiTheme="majorBidi" w:hAnsiTheme="majorBidi" w:cstheme="majorBidi"/>
          <w:b/>
          <w:bCs/>
          <w:i/>
          <w:iCs/>
          <w:color w:val="002060"/>
          <w:sz w:val="32"/>
          <w:szCs w:val="32"/>
          <w:u w:val="single"/>
        </w:rPr>
        <w:t>Part 1</w:t>
      </w:r>
    </w:p>
    <w:p w14:paraId="57D6879E" w14:textId="77777777" w:rsidR="003337EF" w:rsidRPr="004E6FC2" w:rsidRDefault="003337EF" w:rsidP="003337EF">
      <w:pPr>
        <w:pStyle w:val="NormalWeb"/>
        <w:spacing w:line="360" w:lineRule="auto"/>
        <w:ind w:left="360"/>
        <w:jc w:val="both"/>
        <w:rPr>
          <w:rFonts w:asciiTheme="majorBidi" w:hAnsiTheme="majorBidi" w:cstheme="majorBidi"/>
          <w:sz w:val="32"/>
          <w:szCs w:val="32"/>
        </w:rPr>
      </w:pPr>
      <w:r w:rsidRPr="004E6FC2">
        <w:rPr>
          <w:rFonts w:asciiTheme="majorBidi" w:hAnsiTheme="majorBidi" w:cstheme="majorBidi"/>
          <w:sz w:val="32"/>
          <w:szCs w:val="32"/>
        </w:rPr>
        <w:t>Mary Thompson is a 62-year-old retired schoolteacher who reports persistent knee pain that has gradually worsened over the past few years. The pain began about 4 years ago, initially after a day of gardening, and has progressively gotten worse. Mary experiences worse pain in the morning after getting out of bed, which somewhat improves throughout the day but intensifies again by evening. Prolonged walking, climbing stairs, and kneeling aggravate the pain, while rest and elevation provide some relief. Over-the-counter acetaminophen helps manage the discomfort. Mary’s former job involved standing and walking for long periods, and although she enjoys gardening, she has limited exercise outside of this. She is slightly overweight and has no history of significant knee injuries. Currently, she only uses acetaminophen occasionally for pain relief and has never undergone any knee surgeries. Mary lives alone in a single-story house and has a supportive network of friends and family who assist with chores. Her goal is to manage her pain effectively and maintain mobility to continue gardening.</w:t>
      </w:r>
    </w:p>
    <w:p w14:paraId="463B5523" w14:textId="214A475A" w:rsidR="006D62FE" w:rsidRPr="004E6FC2" w:rsidRDefault="006D62FE" w:rsidP="003337EF">
      <w:pPr>
        <w:pStyle w:val="NormalWeb"/>
        <w:spacing w:line="360" w:lineRule="auto"/>
        <w:ind w:left="360"/>
        <w:jc w:val="both"/>
        <w:rPr>
          <w:rFonts w:asciiTheme="majorBidi" w:hAnsiTheme="majorBidi" w:cstheme="majorBidi"/>
          <w:b/>
          <w:bCs/>
          <w:i/>
          <w:iCs/>
          <w:color w:val="002060"/>
          <w:sz w:val="32"/>
          <w:szCs w:val="32"/>
          <w:u w:val="single"/>
        </w:rPr>
      </w:pPr>
      <w:r w:rsidRPr="004E6FC2">
        <w:rPr>
          <w:rFonts w:asciiTheme="majorBidi" w:hAnsiTheme="majorBidi" w:cstheme="majorBidi"/>
          <w:b/>
          <w:bCs/>
          <w:i/>
          <w:iCs/>
          <w:color w:val="002060"/>
          <w:sz w:val="32"/>
          <w:szCs w:val="32"/>
          <w:u w:val="single"/>
        </w:rPr>
        <w:t>Part 2</w:t>
      </w:r>
    </w:p>
    <w:p w14:paraId="4D78AA5B" w14:textId="2F7A0791" w:rsidR="006D62FE" w:rsidRPr="004E6FC2" w:rsidRDefault="006D62FE" w:rsidP="006D62FE">
      <w:pPr>
        <w:pStyle w:val="NormalWeb"/>
        <w:spacing w:line="360" w:lineRule="auto"/>
        <w:ind w:left="360"/>
        <w:jc w:val="both"/>
        <w:rPr>
          <w:rFonts w:asciiTheme="majorBidi" w:hAnsiTheme="majorBidi" w:cstheme="majorBidi"/>
          <w:sz w:val="32"/>
          <w:szCs w:val="32"/>
        </w:rPr>
      </w:pPr>
      <w:r w:rsidRPr="004E6FC2">
        <w:rPr>
          <w:rFonts w:asciiTheme="majorBidi" w:hAnsiTheme="majorBidi" w:cstheme="majorBidi"/>
          <w:sz w:val="32"/>
          <w:szCs w:val="32"/>
        </w:rPr>
        <w:t xml:space="preserve">Upon further subjective assessment, Mary has Rt knee pain and Lt knee is free, she displayed an antalgic gait and likes wearing slightly heeled shoes. Upon assessment you have noticed Mary presents with </w:t>
      </w:r>
      <w:r w:rsidRPr="004E6FC2">
        <w:rPr>
          <w:rFonts w:asciiTheme="majorBidi" w:hAnsiTheme="majorBidi" w:cstheme="majorBidi"/>
          <w:sz w:val="32"/>
          <w:szCs w:val="32"/>
        </w:rPr>
        <w:lastRenderedPageBreak/>
        <w:t xml:space="preserve">noticeable joint swelling and warmth around both knees. There is visible muscle atrophy in the quadriceps, likely due to disuse and pain. There is tenderness over the medial and lateral aspects of the knees. No warmth or significant effusion noted in other joints. is has </w:t>
      </w:r>
      <w:r w:rsidR="004E6FC2" w:rsidRPr="004E6FC2">
        <w:rPr>
          <w:rFonts w:asciiTheme="majorBidi" w:hAnsiTheme="majorBidi" w:cstheme="majorBidi"/>
          <w:sz w:val="32"/>
          <w:szCs w:val="32"/>
        </w:rPr>
        <w:t>crepitation</w:t>
      </w:r>
      <w:r w:rsidR="004E6FC2">
        <w:rPr>
          <w:rFonts w:asciiTheme="majorBidi" w:hAnsiTheme="majorBidi" w:cstheme="majorBidi"/>
          <w:sz w:val="32"/>
          <w:szCs w:val="32"/>
        </w:rPr>
        <w:t xml:space="preserve"> </w:t>
      </w:r>
      <w:r w:rsidRPr="004E6FC2">
        <w:rPr>
          <w:rFonts w:asciiTheme="majorBidi" w:hAnsiTheme="majorBidi" w:cstheme="majorBidi"/>
          <w:sz w:val="32"/>
          <w:szCs w:val="32"/>
        </w:rPr>
        <w:t>and limitation of flexion and extension of the knee from  10-100 on passive ROM. Pain is experienced at the end ranges of motion. Active and passive range of motion (AROM and PROM) show reduced flexibility compared to the unaffected side. Decreased strength in the quadriceps and hamstrings 2+/5 and 3-/5 respectively, with notable weakness in knee extension. Mary demonstrates an antalgic gait with a reduced stride length on the affected side. She favours the non-affected leg while walking.</w:t>
      </w:r>
      <w:r w:rsidRPr="004E6FC2">
        <w:rPr>
          <w:sz w:val="28"/>
          <w:szCs w:val="28"/>
        </w:rPr>
        <w:t xml:space="preserve"> </w:t>
      </w:r>
      <w:r w:rsidRPr="004E6FC2">
        <w:rPr>
          <w:rFonts w:asciiTheme="majorBidi" w:hAnsiTheme="majorBidi" w:cstheme="majorBidi"/>
          <w:sz w:val="32"/>
          <w:szCs w:val="32"/>
        </w:rPr>
        <w:t>Difficulty performing squats and climbing stairs. Challenges with activities of daily living (ADLs) that require bending or kneeling.</w:t>
      </w:r>
    </w:p>
    <w:p w14:paraId="2C4C39D1" w14:textId="77777777" w:rsidR="004E6FC2" w:rsidRPr="004E6FC2" w:rsidRDefault="004E6FC2" w:rsidP="006D62FE">
      <w:pPr>
        <w:pStyle w:val="ListParagraph"/>
        <w:spacing w:line="360" w:lineRule="auto"/>
        <w:jc w:val="center"/>
        <w:rPr>
          <w:rFonts w:asciiTheme="majorBidi" w:hAnsiTheme="majorBidi" w:cstheme="majorBidi"/>
          <w:b/>
          <w:bCs/>
          <w:color w:val="002060"/>
          <w:sz w:val="40"/>
          <w:szCs w:val="40"/>
        </w:rPr>
      </w:pPr>
    </w:p>
    <w:p w14:paraId="1BB9A592" w14:textId="77777777" w:rsidR="004E6FC2" w:rsidRPr="004E6FC2" w:rsidRDefault="004E6FC2" w:rsidP="006D62FE">
      <w:pPr>
        <w:pStyle w:val="ListParagraph"/>
        <w:spacing w:line="360" w:lineRule="auto"/>
        <w:jc w:val="center"/>
        <w:rPr>
          <w:rFonts w:asciiTheme="majorBidi" w:hAnsiTheme="majorBidi" w:cstheme="majorBidi"/>
          <w:b/>
          <w:bCs/>
          <w:color w:val="002060"/>
          <w:sz w:val="40"/>
          <w:szCs w:val="40"/>
        </w:rPr>
      </w:pPr>
    </w:p>
    <w:p w14:paraId="083EB5FE" w14:textId="77777777" w:rsidR="004E6FC2" w:rsidRPr="004E6FC2" w:rsidRDefault="004E6FC2" w:rsidP="006D62FE">
      <w:pPr>
        <w:pStyle w:val="ListParagraph"/>
        <w:spacing w:line="360" w:lineRule="auto"/>
        <w:jc w:val="center"/>
        <w:rPr>
          <w:rFonts w:asciiTheme="majorBidi" w:hAnsiTheme="majorBidi" w:cstheme="majorBidi"/>
          <w:b/>
          <w:bCs/>
          <w:color w:val="002060"/>
          <w:sz w:val="40"/>
          <w:szCs w:val="40"/>
        </w:rPr>
      </w:pPr>
    </w:p>
    <w:p w14:paraId="55E525DC" w14:textId="77777777" w:rsidR="004E6FC2" w:rsidRPr="004E6FC2" w:rsidRDefault="004E6FC2" w:rsidP="006D62FE">
      <w:pPr>
        <w:pStyle w:val="ListParagraph"/>
        <w:spacing w:line="360" w:lineRule="auto"/>
        <w:jc w:val="center"/>
        <w:rPr>
          <w:rFonts w:asciiTheme="majorBidi" w:hAnsiTheme="majorBidi" w:cstheme="majorBidi"/>
          <w:b/>
          <w:bCs/>
          <w:color w:val="002060"/>
          <w:sz w:val="40"/>
          <w:szCs w:val="40"/>
        </w:rPr>
      </w:pPr>
    </w:p>
    <w:p w14:paraId="022F4C13" w14:textId="77777777" w:rsidR="004E6FC2" w:rsidRPr="004E6FC2" w:rsidRDefault="004E6FC2" w:rsidP="006D62FE">
      <w:pPr>
        <w:pStyle w:val="ListParagraph"/>
        <w:spacing w:line="360" w:lineRule="auto"/>
        <w:jc w:val="center"/>
        <w:rPr>
          <w:rFonts w:asciiTheme="majorBidi" w:hAnsiTheme="majorBidi" w:cstheme="majorBidi"/>
          <w:b/>
          <w:bCs/>
          <w:color w:val="002060"/>
          <w:sz w:val="40"/>
          <w:szCs w:val="40"/>
        </w:rPr>
      </w:pPr>
    </w:p>
    <w:p w14:paraId="12F917BD" w14:textId="77777777" w:rsidR="004E6FC2" w:rsidRPr="004E6FC2" w:rsidRDefault="004E6FC2" w:rsidP="006D62FE">
      <w:pPr>
        <w:pStyle w:val="ListParagraph"/>
        <w:spacing w:line="360" w:lineRule="auto"/>
        <w:jc w:val="center"/>
        <w:rPr>
          <w:rFonts w:asciiTheme="majorBidi" w:hAnsiTheme="majorBidi" w:cstheme="majorBidi"/>
          <w:b/>
          <w:bCs/>
          <w:color w:val="002060"/>
          <w:sz w:val="40"/>
          <w:szCs w:val="40"/>
        </w:rPr>
      </w:pPr>
    </w:p>
    <w:p w14:paraId="03BED526" w14:textId="77777777" w:rsidR="004E6FC2" w:rsidRPr="004E6FC2" w:rsidRDefault="004E6FC2" w:rsidP="006D62FE">
      <w:pPr>
        <w:pStyle w:val="ListParagraph"/>
        <w:spacing w:line="360" w:lineRule="auto"/>
        <w:jc w:val="center"/>
        <w:rPr>
          <w:rFonts w:asciiTheme="majorBidi" w:hAnsiTheme="majorBidi" w:cstheme="majorBidi"/>
          <w:b/>
          <w:bCs/>
          <w:color w:val="002060"/>
          <w:sz w:val="40"/>
          <w:szCs w:val="40"/>
        </w:rPr>
      </w:pPr>
    </w:p>
    <w:p w14:paraId="69D3C13B" w14:textId="77777777" w:rsidR="004E6FC2" w:rsidRPr="004E6FC2" w:rsidRDefault="004E6FC2" w:rsidP="004E6FC2">
      <w:pPr>
        <w:spacing w:line="360" w:lineRule="auto"/>
        <w:rPr>
          <w:rFonts w:asciiTheme="majorBidi" w:hAnsiTheme="majorBidi" w:cstheme="majorBidi"/>
          <w:b/>
          <w:bCs/>
          <w:color w:val="002060"/>
          <w:sz w:val="40"/>
          <w:szCs w:val="40"/>
        </w:rPr>
      </w:pPr>
    </w:p>
    <w:p w14:paraId="78EFBB14" w14:textId="49F8D36C" w:rsidR="003337EF" w:rsidRPr="004E6FC2" w:rsidRDefault="003337EF" w:rsidP="006D62FE">
      <w:pPr>
        <w:pStyle w:val="ListParagraph"/>
        <w:spacing w:line="360" w:lineRule="auto"/>
        <w:jc w:val="center"/>
        <w:rPr>
          <w:rFonts w:asciiTheme="majorBidi" w:hAnsiTheme="majorBidi" w:cstheme="majorBidi"/>
          <w:b/>
          <w:bCs/>
          <w:color w:val="002060"/>
          <w:sz w:val="40"/>
          <w:szCs w:val="40"/>
        </w:rPr>
      </w:pPr>
      <w:r w:rsidRPr="004E6FC2">
        <w:rPr>
          <w:rFonts w:asciiTheme="majorBidi" w:hAnsiTheme="majorBidi" w:cstheme="majorBidi"/>
          <w:b/>
          <w:bCs/>
          <w:color w:val="002060"/>
          <w:sz w:val="40"/>
          <w:szCs w:val="40"/>
        </w:rPr>
        <w:lastRenderedPageBreak/>
        <w:t>Case Study 2</w:t>
      </w:r>
    </w:p>
    <w:p w14:paraId="11297FC8" w14:textId="121A47A3" w:rsidR="006D62FE" w:rsidRPr="004E6FC2" w:rsidRDefault="006D62FE" w:rsidP="006D62FE">
      <w:pPr>
        <w:spacing w:line="360" w:lineRule="auto"/>
        <w:ind w:left="360"/>
        <w:jc w:val="both"/>
        <w:rPr>
          <w:rFonts w:asciiTheme="majorBidi" w:hAnsiTheme="majorBidi" w:cstheme="majorBidi"/>
          <w:b/>
          <w:bCs/>
          <w:i/>
          <w:iCs/>
          <w:color w:val="002060"/>
          <w:sz w:val="32"/>
          <w:szCs w:val="32"/>
          <w:u w:val="single"/>
        </w:rPr>
      </w:pPr>
      <w:r w:rsidRPr="004E6FC2">
        <w:rPr>
          <w:rFonts w:asciiTheme="majorBidi" w:hAnsiTheme="majorBidi" w:cstheme="majorBidi"/>
          <w:b/>
          <w:bCs/>
          <w:i/>
          <w:iCs/>
          <w:color w:val="002060"/>
          <w:sz w:val="32"/>
          <w:szCs w:val="32"/>
          <w:u w:val="single"/>
        </w:rPr>
        <w:t>Part 1</w:t>
      </w:r>
    </w:p>
    <w:p w14:paraId="76F2B69F" w14:textId="4D7AD1E4" w:rsidR="003337EF" w:rsidRPr="004E6FC2" w:rsidRDefault="003337EF" w:rsidP="003337EF">
      <w:pPr>
        <w:pStyle w:val="NormalWeb"/>
        <w:spacing w:line="360" w:lineRule="auto"/>
        <w:ind w:left="360"/>
        <w:jc w:val="both"/>
        <w:rPr>
          <w:rFonts w:asciiTheme="majorBidi" w:hAnsiTheme="majorBidi" w:cstheme="majorBidi"/>
          <w:sz w:val="32"/>
          <w:szCs w:val="32"/>
        </w:rPr>
      </w:pPr>
      <w:r w:rsidRPr="004E6FC2">
        <w:rPr>
          <w:rFonts w:asciiTheme="majorBidi" w:hAnsiTheme="majorBidi" w:cstheme="majorBidi"/>
          <w:sz w:val="32"/>
          <w:szCs w:val="32"/>
        </w:rPr>
        <w:t xml:space="preserve">Aisha Ahmed, a 35-year-old University Professor, presents with symmetrical joint pain and swelling in her hands and wrists. Symptoms began gradually about 6 months ago, starting with morning stiffness and swelling. The pain persists throughout the day, often worsening in the evening. Aisha experiences significant discomfort when typing or handling objects, which affects her work as a university professor. She finds relief through gentle hand exercises, warm compresses, and nonsteroidal anti-inflammatory drugs (NSAIDs) like naproxen. Aisha has a family history of autoimmune diseases and leads a mostly sedentary lifestyle </w:t>
      </w:r>
      <w:r w:rsidR="006D62FE" w:rsidRPr="004E6FC2">
        <w:rPr>
          <w:rFonts w:asciiTheme="majorBidi" w:hAnsiTheme="majorBidi" w:cstheme="majorBidi"/>
          <w:sz w:val="32"/>
          <w:szCs w:val="32"/>
        </w:rPr>
        <w:t>due to the demands of her job and spends long hours at her desk</w:t>
      </w:r>
      <w:r w:rsidRPr="004E6FC2">
        <w:rPr>
          <w:rFonts w:asciiTheme="majorBidi" w:hAnsiTheme="majorBidi" w:cstheme="majorBidi"/>
          <w:sz w:val="32"/>
          <w:szCs w:val="32"/>
        </w:rPr>
        <w:t>. She has not experienced significant joint injuries in the past and has not undergone any joint surgeries. She lives with her husband and children in a single-story home and receives support from her family with daily tasks. Aisha aims to manage her symptoms effectively to maintain her work performance and daily activities without pain.</w:t>
      </w:r>
    </w:p>
    <w:p w14:paraId="23A50054" w14:textId="75F451B4" w:rsidR="003337EF" w:rsidRPr="004E6FC2" w:rsidRDefault="006D62FE" w:rsidP="003337EF">
      <w:pPr>
        <w:spacing w:line="360" w:lineRule="auto"/>
        <w:jc w:val="both"/>
        <w:rPr>
          <w:rFonts w:asciiTheme="majorBidi" w:hAnsiTheme="majorBidi" w:cstheme="majorBidi"/>
          <w:b/>
          <w:bCs/>
          <w:i/>
          <w:iCs/>
          <w:sz w:val="32"/>
          <w:szCs w:val="32"/>
          <w:u w:val="single"/>
        </w:rPr>
      </w:pPr>
      <w:r w:rsidRPr="004E6FC2">
        <w:rPr>
          <w:rFonts w:asciiTheme="majorBidi" w:hAnsiTheme="majorBidi" w:cstheme="majorBidi"/>
          <w:b/>
          <w:bCs/>
          <w:i/>
          <w:iCs/>
          <w:sz w:val="32"/>
          <w:szCs w:val="32"/>
          <w:u w:val="single"/>
        </w:rPr>
        <w:t>Part 2</w:t>
      </w:r>
    </w:p>
    <w:p w14:paraId="091B3D67" w14:textId="4A3A876D" w:rsidR="0016502D" w:rsidRPr="004E6FC2" w:rsidRDefault="0016502D" w:rsidP="00EB75B9">
      <w:pPr>
        <w:numPr>
          <w:ilvl w:val="0"/>
          <w:numId w:val="5"/>
        </w:numPr>
        <w:spacing w:line="360" w:lineRule="auto"/>
        <w:jc w:val="both"/>
        <w:rPr>
          <w:rFonts w:asciiTheme="majorBidi" w:hAnsiTheme="majorBidi" w:cstheme="majorBidi"/>
          <w:sz w:val="32"/>
          <w:szCs w:val="32"/>
        </w:rPr>
      </w:pPr>
      <w:r w:rsidRPr="004E6FC2">
        <w:rPr>
          <w:rFonts w:asciiTheme="majorBidi" w:hAnsiTheme="majorBidi" w:cstheme="majorBidi"/>
          <w:sz w:val="32"/>
          <w:szCs w:val="32"/>
        </w:rPr>
        <w:t xml:space="preserve">Upon subjective assessment, Aisha confirmed her morning </w:t>
      </w:r>
      <w:proofErr w:type="spellStart"/>
      <w:r w:rsidRPr="004E6FC2">
        <w:rPr>
          <w:rFonts w:asciiTheme="majorBidi" w:hAnsiTheme="majorBidi" w:cstheme="majorBidi"/>
          <w:sz w:val="32"/>
          <w:szCs w:val="32"/>
        </w:rPr>
        <w:t>stifness</w:t>
      </w:r>
      <w:proofErr w:type="spellEnd"/>
      <w:r w:rsidRPr="004E6FC2">
        <w:rPr>
          <w:rFonts w:asciiTheme="majorBidi" w:hAnsiTheme="majorBidi" w:cstheme="majorBidi"/>
          <w:sz w:val="32"/>
          <w:szCs w:val="32"/>
        </w:rPr>
        <w:t xml:space="preserve"> last for  </w:t>
      </w:r>
      <w:proofErr w:type="spellStart"/>
      <w:r w:rsidRPr="004E6FC2">
        <w:rPr>
          <w:rFonts w:asciiTheme="majorBidi" w:hAnsiTheme="majorBidi" w:cstheme="majorBidi"/>
          <w:sz w:val="32"/>
          <w:szCs w:val="32"/>
        </w:rPr>
        <w:t>bout</w:t>
      </w:r>
      <w:proofErr w:type="spellEnd"/>
      <w:r w:rsidRPr="004E6FC2">
        <w:rPr>
          <w:rFonts w:asciiTheme="majorBidi" w:hAnsiTheme="majorBidi" w:cstheme="majorBidi"/>
          <w:sz w:val="32"/>
          <w:szCs w:val="32"/>
        </w:rPr>
        <w:t xml:space="preserve"> an 45-60 min. Swelling and redness noted in both hands and wrists. Presence of joint deformities, such as ulnar deviation at the MCP joints. Upon palpation there was </w:t>
      </w:r>
      <w:r w:rsidRPr="004E6FC2">
        <w:rPr>
          <w:rFonts w:asciiTheme="majorBidi" w:hAnsiTheme="majorBidi" w:cstheme="majorBidi"/>
          <w:sz w:val="32"/>
          <w:szCs w:val="32"/>
        </w:rPr>
        <w:lastRenderedPageBreak/>
        <w:t>tenderness and warmth over the affected joints, particularly in the wrists and MCP joints. No significant swelling in other joints.</w:t>
      </w:r>
      <w:r w:rsidR="00EB75B9" w:rsidRPr="004E6FC2">
        <w:rPr>
          <w:rFonts w:asciiTheme="majorBidi" w:hAnsiTheme="majorBidi" w:cstheme="majorBidi"/>
          <w:sz w:val="32"/>
          <w:szCs w:val="32"/>
        </w:rPr>
        <w:t xml:space="preserve"> </w:t>
      </w:r>
      <w:r w:rsidRPr="004E6FC2">
        <w:rPr>
          <w:rFonts w:asciiTheme="majorBidi" w:hAnsiTheme="majorBidi" w:cstheme="majorBidi"/>
          <w:sz w:val="32"/>
          <w:szCs w:val="32"/>
        </w:rPr>
        <w:t>Reduced ROM in the wrists and fingers due to pain and swelling. Both active and passive range of motion are affected.</w:t>
      </w:r>
      <w:r w:rsidR="00EB75B9" w:rsidRPr="004E6FC2">
        <w:rPr>
          <w:rFonts w:asciiTheme="majorBidi" w:hAnsiTheme="majorBidi" w:cstheme="majorBidi"/>
          <w:sz w:val="32"/>
          <w:szCs w:val="32"/>
        </w:rPr>
        <w:t xml:space="preserve"> </w:t>
      </w:r>
      <w:r w:rsidRPr="004E6FC2">
        <w:rPr>
          <w:rFonts w:asciiTheme="majorBidi" w:hAnsiTheme="majorBidi" w:cstheme="majorBidi"/>
          <w:sz w:val="32"/>
          <w:szCs w:val="32"/>
        </w:rPr>
        <w:t>Decreased grip strength and weakness in hand muscles. Difficulty performing tasks requiring fine motor skills.</w:t>
      </w:r>
      <w:r w:rsidR="00EB75B9" w:rsidRPr="004E6FC2">
        <w:rPr>
          <w:rFonts w:asciiTheme="majorBidi" w:hAnsiTheme="majorBidi" w:cstheme="majorBidi"/>
          <w:sz w:val="32"/>
          <w:szCs w:val="32"/>
        </w:rPr>
        <w:t xml:space="preserve"> </w:t>
      </w:r>
      <w:r w:rsidRPr="004E6FC2">
        <w:rPr>
          <w:rFonts w:asciiTheme="majorBidi" w:hAnsiTheme="majorBidi" w:cstheme="majorBidi"/>
          <w:sz w:val="32"/>
          <w:szCs w:val="32"/>
        </w:rPr>
        <w:t>Challenges with tasks involving hand dexterity, such as typing and writing. Difficulty with opening jars and holding objects.</w:t>
      </w:r>
    </w:p>
    <w:p w14:paraId="1EB58E55" w14:textId="46E2B2E9" w:rsidR="0016502D" w:rsidRPr="004E6FC2" w:rsidRDefault="0016502D" w:rsidP="003337EF">
      <w:pPr>
        <w:spacing w:line="360" w:lineRule="auto"/>
        <w:jc w:val="both"/>
        <w:rPr>
          <w:rFonts w:asciiTheme="majorBidi" w:hAnsiTheme="majorBidi" w:cstheme="majorBidi"/>
          <w:sz w:val="32"/>
          <w:szCs w:val="32"/>
        </w:rPr>
      </w:pPr>
    </w:p>
    <w:sectPr w:rsidR="0016502D" w:rsidRPr="004E6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27122"/>
    <w:multiLevelType w:val="multilevel"/>
    <w:tmpl w:val="E4D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50E99"/>
    <w:multiLevelType w:val="hybridMultilevel"/>
    <w:tmpl w:val="8C12F8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AA5AC4"/>
    <w:multiLevelType w:val="multilevel"/>
    <w:tmpl w:val="AFD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93459"/>
    <w:multiLevelType w:val="multilevel"/>
    <w:tmpl w:val="FD4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231F7"/>
    <w:multiLevelType w:val="multilevel"/>
    <w:tmpl w:val="3F3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912C0"/>
    <w:multiLevelType w:val="multilevel"/>
    <w:tmpl w:val="086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63A68"/>
    <w:multiLevelType w:val="multilevel"/>
    <w:tmpl w:val="AD9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86CE8"/>
    <w:multiLevelType w:val="multilevel"/>
    <w:tmpl w:val="8F4E0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F0326"/>
    <w:multiLevelType w:val="multilevel"/>
    <w:tmpl w:val="D4D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C3C6D"/>
    <w:multiLevelType w:val="hybridMultilevel"/>
    <w:tmpl w:val="94DA0F3C"/>
    <w:lvl w:ilvl="0" w:tplc="5EEAA2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3277FF"/>
    <w:multiLevelType w:val="multilevel"/>
    <w:tmpl w:val="8E1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967CF"/>
    <w:multiLevelType w:val="multilevel"/>
    <w:tmpl w:val="8578C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675C48"/>
    <w:multiLevelType w:val="multilevel"/>
    <w:tmpl w:val="EE2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31866"/>
    <w:multiLevelType w:val="multilevel"/>
    <w:tmpl w:val="920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73991">
    <w:abstractNumId w:val="9"/>
  </w:num>
  <w:num w:numId="2" w16cid:durableId="1946963144">
    <w:abstractNumId w:val="12"/>
  </w:num>
  <w:num w:numId="3" w16cid:durableId="1150901861">
    <w:abstractNumId w:val="10"/>
  </w:num>
  <w:num w:numId="4" w16cid:durableId="1701516767">
    <w:abstractNumId w:val="5"/>
  </w:num>
  <w:num w:numId="5" w16cid:durableId="615873238">
    <w:abstractNumId w:val="0"/>
  </w:num>
  <w:num w:numId="6" w16cid:durableId="1366441685">
    <w:abstractNumId w:val="7"/>
  </w:num>
  <w:num w:numId="7" w16cid:durableId="1573081989">
    <w:abstractNumId w:val="11"/>
  </w:num>
  <w:num w:numId="8" w16cid:durableId="1467237607">
    <w:abstractNumId w:val="1"/>
  </w:num>
  <w:num w:numId="9" w16cid:durableId="657465150">
    <w:abstractNumId w:val="4"/>
  </w:num>
  <w:num w:numId="10" w16cid:durableId="1831017679">
    <w:abstractNumId w:val="8"/>
  </w:num>
  <w:num w:numId="11" w16cid:durableId="944311329">
    <w:abstractNumId w:val="13"/>
  </w:num>
  <w:num w:numId="12" w16cid:durableId="2067486573">
    <w:abstractNumId w:val="2"/>
  </w:num>
  <w:num w:numId="13" w16cid:durableId="1414738614">
    <w:abstractNumId w:val="6"/>
  </w:num>
  <w:num w:numId="14" w16cid:durableId="1052387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EF"/>
    <w:rsid w:val="000127E3"/>
    <w:rsid w:val="0007066E"/>
    <w:rsid w:val="000F5AF3"/>
    <w:rsid w:val="0016502D"/>
    <w:rsid w:val="0021046D"/>
    <w:rsid w:val="00251BB9"/>
    <w:rsid w:val="003337EF"/>
    <w:rsid w:val="00337BFE"/>
    <w:rsid w:val="004D08C8"/>
    <w:rsid w:val="004E6FC2"/>
    <w:rsid w:val="00606D5E"/>
    <w:rsid w:val="00687F70"/>
    <w:rsid w:val="006D62FE"/>
    <w:rsid w:val="00DD0550"/>
    <w:rsid w:val="00E8236A"/>
    <w:rsid w:val="00EB75B9"/>
    <w:rsid w:val="00F0516E"/>
    <w:rsid w:val="00FD30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AC65"/>
  <w15:chartTrackingRefBased/>
  <w15:docId w15:val="{4B1A399C-6D64-44C2-957B-A5E8FB09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7EF"/>
    <w:rPr>
      <w:rFonts w:eastAsiaTheme="majorEastAsia" w:cstheme="majorBidi"/>
      <w:color w:val="272727" w:themeColor="text1" w:themeTint="D8"/>
    </w:rPr>
  </w:style>
  <w:style w:type="paragraph" w:styleId="Title">
    <w:name w:val="Title"/>
    <w:basedOn w:val="Normal"/>
    <w:next w:val="Normal"/>
    <w:link w:val="TitleChar"/>
    <w:uiPriority w:val="10"/>
    <w:qFormat/>
    <w:rsid w:val="0033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EF"/>
    <w:pPr>
      <w:spacing w:before="160"/>
      <w:jc w:val="center"/>
    </w:pPr>
    <w:rPr>
      <w:i/>
      <w:iCs/>
      <w:color w:val="404040" w:themeColor="text1" w:themeTint="BF"/>
    </w:rPr>
  </w:style>
  <w:style w:type="character" w:customStyle="1" w:styleId="QuoteChar">
    <w:name w:val="Quote Char"/>
    <w:basedOn w:val="DefaultParagraphFont"/>
    <w:link w:val="Quote"/>
    <w:uiPriority w:val="29"/>
    <w:rsid w:val="003337EF"/>
    <w:rPr>
      <w:i/>
      <w:iCs/>
      <w:color w:val="404040" w:themeColor="text1" w:themeTint="BF"/>
    </w:rPr>
  </w:style>
  <w:style w:type="paragraph" w:styleId="ListParagraph">
    <w:name w:val="List Paragraph"/>
    <w:basedOn w:val="Normal"/>
    <w:uiPriority w:val="34"/>
    <w:qFormat/>
    <w:rsid w:val="003337EF"/>
    <w:pPr>
      <w:ind w:left="720"/>
      <w:contextualSpacing/>
    </w:pPr>
  </w:style>
  <w:style w:type="character" w:styleId="IntenseEmphasis">
    <w:name w:val="Intense Emphasis"/>
    <w:basedOn w:val="DefaultParagraphFont"/>
    <w:uiPriority w:val="21"/>
    <w:qFormat/>
    <w:rsid w:val="003337EF"/>
    <w:rPr>
      <w:i/>
      <w:iCs/>
      <w:color w:val="0F4761" w:themeColor="accent1" w:themeShade="BF"/>
    </w:rPr>
  </w:style>
  <w:style w:type="paragraph" w:styleId="IntenseQuote">
    <w:name w:val="Intense Quote"/>
    <w:basedOn w:val="Normal"/>
    <w:next w:val="Normal"/>
    <w:link w:val="IntenseQuoteChar"/>
    <w:uiPriority w:val="30"/>
    <w:qFormat/>
    <w:rsid w:val="00333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7EF"/>
    <w:rPr>
      <w:i/>
      <w:iCs/>
      <w:color w:val="0F4761" w:themeColor="accent1" w:themeShade="BF"/>
    </w:rPr>
  </w:style>
  <w:style w:type="character" w:styleId="IntenseReference">
    <w:name w:val="Intense Reference"/>
    <w:basedOn w:val="DefaultParagraphFont"/>
    <w:uiPriority w:val="32"/>
    <w:qFormat/>
    <w:rsid w:val="003337EF"/>
    <w:rPr>
      <w:b/>
      <w:bCs/>
      <w:smallCaps/>
      <w:color w:val="0F4761" w:themeColor="accent1" w:themeShade="BF"/>
      <w:spacing w:val="5"/>
    </w:rPr>
  </w:style>
  <w:style w:type="paragraph" w:styleId="NormalWeb">
    <w:name w:val="Normal (Web)"/>
    <w:basedOn w:val="Normal"/>
    <w:uiPriority w:val="99"/>
    <w:semiHidden/>
    <w:unhideWhenUsed/>
    <w:rsid w:val="003337E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0286">
      <w:bodyDiv w:val="1"/>
      <w:marLeft w:val="0"/>
      <w:marRight w:val="0"/>
      <w:marTop w:val="0"/>
      <w:marBottom w:val="0"/>
      <w:divBdr>
        <w:top w:val="none" w:sz="0" w:space="0" w:color="auto"/>
        <w:left w:val="none" w:sz="0" w:space="0" w:color="auto"/>
        <w:bottom w:val="none" w:sz="0" w:space="0" w:color="auto"/>
        <w:right w:val="none" w:sz="0" w:space="0" w:color="auto"/>
      </w:divBdr>
    </w:div>
    <w:div w:id="233010027">
      <w:bodyDiv w:val="1"/>
      <w:marLeft w:val="0"/>
      <w:marRight w:val="0"/>
      <w:marTop w:val="0"/>
      <w:marBottom w:val="0"/>
      <w:divBdr>
        <w:top w:val="none" w:sz="0" w:space="0" w:color="auto"/>
        <w:left w:val="none" w:sz="0" w:space="0" w:color="auto"/>
        <w:bottom w:val="none" w:sz="0" w:space="0" w:color="auto"/>
        <w:right w:val="none" w:sz="0" w:space="0" w:color="auto"/>
      </w:divBdr>
    </w:div>
    <w:div w:id="267548437">
      <w:bodyDiv w:val="1"/>
      <w:marLeft w:val="0"/>
      <w:marRight w:val="0"/>
      <w:marTop w:val="0"/>
      <w:marBottom w:val="0"/>
      <w:divBdr>
        <w:top w:val="none" w:sz="0" w:space="0" w:color="auto"/>
        <w:left w:val="none" w:sz="0" w:space="0" w:color="auto"/>
        <w:bottom w:val="none" w:sz="0" w:space="0" w:color="auto"/>
        <w:right w:val="none" w:sz="0" w:space="0" w:color="auto"/>
      </w:divBdr>
    </w:div>
    <w:div w:id="313802548">
      <w:bodyDiv w:val="1"/>
      <w:marLeft w:val="0"/>
      <w:marRight w:val="0"/>
      <w:marTop w:val="0"/>
      <w:marBottom w:val="0"/>
      <w:divBdr>
        <w:top w:val="none" w:sz="0" w:space="0" w:color="auto"/>
        <w:left w:val="none" w:sz="0" w:space="0" w:color="auto"/>
        <w:bottom w:val="none" w:sz="0" w:space="0" w:color="auto"/>
        <w:right w:val="none" w:sz="0" w:space="0" w:color="auto"/>
      </w:divBdr>
    </w:div>
    <w:div w:id="434712438">
      <w:bodyDiv w:val="1"/>
      <w:marLeft w:val="0"/>
      <w:marRight w:val="0"/>
      <w:marTop w:val="0"/>
      <w:marBottom w:val="0"/>
      <w:divBdr>
        <w:top w:val="none" w:sz="0" w:space="0" w:color="auto"/>
        <w:left w:val="none" w:sz="0" w:space="0" w:color="auto"/>
        <w:bottom w:val="none" w:sz="0" w:space="0" w:color="auto"/>
        <w:right w:val="none" w:sz="0" w:space="0" w:color="auto"/>
      </w:divBdr>
    </w:div>
    <w:div w:id="733814779">
      <w:bodyDiv w:val="1"/>
      <w:marLeft w:val="0"/>
      <w:marRight w:val="0"/>
      <w:marTop w:val="0"/>
      <w:marBottom w:val="0"/>
      <w:divBdr>
        <w:top w:val="none" w:sz="0" w:space="0" w:color="auto"/>
        <w:left w:val="none" w:sz="0" w:space="0" w:color="auto"/>
        <w:bottom w:val="none" w:sz="0" w:space="0" w:color="auto"/>
        <w:right w:val="none" w:sz="0" w:space="0" w:color="auto"/>
      </w:divBdr>
    </w:div>
    <w:div w:id="794522152">
      <w:bodyDiv w:val="1"/>
      <w:marLeft w:val="0"/>
      <w:marRight w:val="0"/>
      <w:marTop w:val="0"/>
      <w:marBottom w:val="0"/>
      <w:divBdr>
        <w:top w:val="none" w:sz="0" w:space="0" w:color="auto"/>
        <w:left w:val="none" w:sz="0" w:space="0" w:color="auto"/>
        <w:bottom w:val="none" w:sz="0" w:space="0" w:color="auto"/>
        <w:right w:val="none" w:sz="0" w:space="0" w:color="auto"/>
      </w:divBdr>
    </w:div>
    <w:div w:id="1083451665">
      <w:bodyDiv w:val="1"/>
      <w:marLeft w:val="0"/>
      <w:marRight w:val="0"/>
      <w:marTop w:val="0"/>
      <w:marBottom w:val="0"/>
      <w:divBdr>
        <w:top w:val="none" w:sz="0" w:space="0" w:color="auto"/>
        <w:left w:val="none" w:sz="0" w:space="0" w:color="auto"/>
        <w:bottom w:val="none" w:sz="0" w:space="0" w:color="auto"/>
        <w:right w:val="none" w:sz="0" w:space="0" w:color="auto"/>
      </w:divBdr>
    </w:div>
    <w:div w:id="1279875560">
      <w:bodyDiv w:val="1"/>
      <w:marLeft w:val="0"/>
      <w:marRight w:val="0"/>
      <w:marTop w:val="0"/>
      <w:marBottom w:val="0"/>
      <w:divBdr>
        <w:top w:val="none" w:sz="0" w:space="0" w:color="auto"/>
        <w:left w:val="none" w:sz="0" w:space="0" w:color="auto"/>
        <w:bottom w:val="none" w:sz="0" w:space="0" w:color="auto"/>
        <w:right w:val="none" w:sz="0" w:space="0" w:color="auto"/>
      </w:divBdr>
    </w:div>
    <w:div w:id="1301418342">
      <w:bodyDiv w:val="1"/>
      <w:marLeft w:val="0"/>
      <w:marRight w:val="0"/>
      <w:marTop w:val="0"/>
      <w:marBottom w:val="0"/>
      <w:divBdr>
        <w:top w:val="none" w:sz="0" w:space="0" w:color="auto"/>
        <w:left w:val="none" w:sz="0" w:space="0" w:color="auto"/>
        <w:bottom w:val="none" w:sz="0" w:space="0" w:color="auto"/>
        <w:right w:val="none" w:sz="0" w:space="0" w:color="auto"/>
      </w:divBdr>
    </w:div>
    <w:div w:id="1378315436">
      <w:bodyDiv w:val="1"/>
      <w:marLeft w:val="0"/>
      <w:marRight w:val="0"/>
      <w:marTop w:val="0"/>
      <w:marBottom w:val="0"/>
      <w:divBdr>
        <w:top w:val="none" w:sz="0" w:space="0" w:color="auto"/>
        <w:left w:val="none" w:sz="0" w:space="0" w:color="auto"/>
        <w:bottom w:val="none" w:sz="0" w:space="0" w:color="auto"/>
        <w:right w:val="none" w:sz="0" w:space="0" w:color="auto"/>
      </w:divBdr>
    </w:div>
    <w:div w:id="186385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Abu-Taleb</dc:creator>
  <cp:keywords/>
  <dc:description/>
  <cp:lastModifiedBy>Walaa Abu-Taleb</cp:lastModifiedBy>
  <cp:revision>2</cp:revision>
  <cp:lastPrinted>2024-08-12T15:28:00Z</cp:lastPrinted>
  <dcterms:created xsi:type="dcterms:W3CDTF">2024-10-09T13:47:00Z</dcterms:created>
  <dcterms:modified xsi:type="dcterms:W3CDTF">2024-10-09T13:47:00Z</dcterms:modified>
</cp:coreProperties>
</file>