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13D1" w14:textId="77777777" w:rsidR="00A61F16" w:rsidRDefault="00A61F16">
      <w:pPr>
        <w:pStyle w:val="Title"/>
        <w:jc w:val="center"/>
        <w:rPr>
          <w:rFonts w:ascii="Verdana" w:hAnsi="Verdana"/>
        </w:rPr>
      </w:pPr>
      <w:r>
        <w:rPr>
          <w:rFonts w:ascii="Verdana" w:hAnsi="Verdana"/>
        </w:rPr>
        <w:t>PT5050</w:t>
      </w:r>
    </w:p>
    <w:p w14:paraId="7A163299" w14:textId="50557BA1" w:rsidR="003E4A63" w:rsidRPr="00A61F16" w:rsidRDefault="00000000">
      <w:pPr>
        <w:pStyle w:val="Title"/>
        <w:jc w:val="center"/>
        <w:rPr>
          <w:rFonts w:ascii="Verdana" w:hAnsi="Verdana"/>
        </w:rPr>
      </w:pPr>
      <w:r w:rsidRPr="00A61F16">
        <w:rPr>
          <w:rFonts w:ascii="Verdana" w:hAnsi="Verdana"/>
        </w:rPr>
        <w:t>What you need to know</w:t>
      </w:r>
    </w:p>
    <w:p w14:paraId="40A020DA" w14:textId="77777777" w:rsidR="003E4A63" w:rsidRPr="00A61F16" w:rsidRDefault="00000000">
      <w:pPr>
        <w:pStyle w:val="Heading1"/>
        <w:rPr>
          <w:rFonts w:ascii="Verdana" w:hAnsi="Verdana"/>
          <w:color w:val="auto"/>
        </w:rPr>
      </w:pPr>
      <w:r w:rsidRPr="00A61F16">
        <w:rPr>
          <w:rFonts w:ascii="Verdana" w:hAnsi="Verdana"/>
          <w:color w:val="auto"/>
        </w:rPr>
        <w:t>Psychology, Motivational Interviewing and Behaviour Change</w:t>
      </w:r>
    </w:p>
    <w:p w14:paraId="5A191C0B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Treatment adherence and influencing factors</w:t>
      </w:r>
    </w:p>
    <w:p w14:paraId="1055AB77" w14:textId="1BC2FD0B" w:rsidR="003E4A63" w:rsidRPr="00A61F16" w:rsidRDefault="00000000" w:rsidP="00A61F16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 xml:space="preserve">Self-Determination Theory </w:t>
      </w:r>
    </w:p>
    <w:p w14:paraId="419FA310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Health Belief Model</w:t>
      </w:r>
    </w:p>
    <w:p w14:paraId="243F6472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Transtheoretical Model</w:t>
      </w:r>
    </w:p>
    <w:p w14:paraId="2EFD35C4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Motivational Interviewing principles</w:t>
      </w:r>
    </w:p>
    <w:p w14:paraId="43047D90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COM-B Model</w:t>
      </w:r>
    </w:p>
    <w:p w14:paraId="1E51E398" w14:textId="77777777" w:rsidR="003E4A63" w:rsidRPr="00A61F16" w:rsidRDefault="00000000">
      <w:pPr>
        <w:pStyle w:val="Heading1"/>
        <w:rPr>
          <w:rFonts w:ascii="Verdana" w:hAnsi="Verdana"/>
          <w:color w:val="auto"/>
        </w:rPr>
      </w:pPr>
      <w:r w:rsidRPr="00A61F16">
        <w:rPr>
          <w:rFonts w:ascii="Verdana" w:hAnsi="Verdana"/>
          <w:color w:val="auto"/>
        </w:rPr>
        <w:t>Behaviour Change Approaches Including CBT and Behaviour Change Techniques</w:t>
      </w:r>
    </w:p>
    <w:p w14:paraId="4694EF5F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Behaviour Change Techniques</w:t>
      </w:r>
    </w:p>
    <w:p w14:paraId="5AAFEF58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CBT principles in physiotherapy</w:t>
      </w:r>
    </w:p>
    <w:p w14:paraId="2A7DE906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Motivation-related barriers</w:t>
      </w:r>
    </w:p>
    <w:p w14:paraId="3B614DCB" w14:textId="77777777" w:rsidR="003E4A63" w:rsidRPr="00A61F16" w:rsidRDefault="00000000">
      <w:pPr>
        <w:pStyle w:val="Heading1"/>
        <w:rPr>
          <w:rFonts w:ascii="Verdana" w:hAnsi="Verdana"/>
          <w:color w:val="auto"/>
        </w:rPr>
      </w:pPr>
      <w:r w:rsidRPr="00A61F16">
        <w:rPr>
          <w:rFonts w:ascii="Verdana" w:hAnsi="Verdana"/>
          <w:color w:val="auto"/>
        </w:rPr>
        <w:t>Cell Death, Abnormal Cell Growth and Cancer of Movement</w:t>
      </w:r>
    </w:p>
    <w:p w14:paraId="1EF22A95" w14:textId="501B4A5F" w:rsidR="003E4A63" w:rsidRPr="00A61F16" w:rsidRDefault="001E6C4F">
      <w:pPr>
        <w:pStyle w:val="ListBullet"/>
        <w:rPr>
          <w:rFonts w:ascii="Verdana" w:hAnsi="Verdana"/>
        </w:rPr>
      </w:pPr>
      <w:r>
        <w:rPr>
          <w:rFonts w:ascii="Verdana" w:hAnsi="Verdana"/>
        </w:rPr>
        <w:t>Difference between a</w:t>
      </w:r>
      <w:r w:rsidR="00000000" w:rsidRPr="00A61F16">
        <w:rPr>
          <w:rFonts w:ascii="Verdana" w:hAnsi="Verdana"/>
        </w:rPr>
        <w:t>poptosis vs necrosis</w:t>
      </w:r>
    </w:p>
    <w:p w14:paraId="4B5854B2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Cellular adaptations</w:t>
      </w:r>
    </w:p>
    <w:p w14:paraId="16B5FDD8" w14:textId="52984A8C" w:rsidR="003E4A63" w:rsidRPr="00A61F16" w:rsidRDefault="001E6C4F">
      <w:pPr>
        <w:pStyle w:val="ListBullet"/>
        <w:rPr>
          <w:rFonts w:ascii="Verdana" w:hAnsi="Verdana"/>
        </w:rPr>
      </w:pPr>
      <w:r>
        <w:rPr>
          <w:rFonts w:ascii="Verdana" w:hAnsi="Verdana"/>
        </w:rPr>
        <w:t>Difference between n</w:t>
      </w:r>
      <w:r w:rsidR="00000000" w:rsidRPr="00A61F16">
        <w:rPr>
          <w:rFonts w:ascii="Verdana" w:hAnsi="Verdana"/>
        </w:rPr>
        <w:t>eoplasia vs hyperplasia</w:t>
      </w:r>
    </w:p>
    <w:p w14:paraId="5ED7FE64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Role of p53 gene</w:t>
      </w:r>
    </w:p>
    <w:p w14:paraId="1F4721A4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Autophagy</w:t>
      </w:r>
    </w:p>
    <w:p w14:paraId="06E245DB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Metastasis mechanisms</w:t>
      </w:r>
    </w:p>
    <w:p w14:paraId="319E9BA8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Routes of cancer spread</w:t>
      </w:r>
    </w:p>
    <w:p w14:paraId="2CC63F3E" w14:textId="77777777" w:rsidR="003E4A63" w:rsidRPr="00A61F16" w:rsidRDefault="00000000">
      <w:pPr>
        <w:pStyle w:val="Heading1"/>
        <w:rPr>
          <w:rFonts w:ascii="Verdana" w:hAnsi="Verdana"/>
          <w:color w:val="auto"/>
        </w:rPr>
      </w:pPr>
      <w:r w:rsidRPr="00A61F16">
        <w:rPr>
          <w:rFonts w:ascii="Verdana" w:hAnsi="Verdana"/>
          <w:color w:val="auto"/>
        </w:rPr>
        <w:t>Pathophysiology of Acute and Chronic Pain</w:t>
      </w:r>
    </w:p>
    <w:p w14:paraId="4C7504BD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Acute vs chronic pain</w:t>
      </w:r>
    </w:p>
    <w:p w14:paraId="4043B0FC" w14:textId="53D52398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lastRenderedPageBreak/>
        <w:t>Nociceptive pathway</w:t>
      </w:r>
      <w:r w:rsidR="00A61F16">
        <w:rPr>
          <w:rFonts w:ascii="Verdana" w:hAnsi="Verdana"/>
        </w:rPr>
        <w:t xml:space="preserve"> and receptors</w:t>
      </w:r>
    </w:p>
    <w:p w14:paraId="7FE983B7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Gate Control Theory</w:t>
      </w:r>
    </w:p>
    <w:p w14:paraId="3C6F1152" w14:textId="1627879B" w:rsidR="003E4A63" w:rsidRPr="00A61F16" w:rsidRDefault="001E6C4F">
      <w:pPr>
        <w:pStyle w:val="ListBullet"/>
        <w:rPr>
          <w:rFonts w:ascii="Verdana" w:hAnsi="Verdana"/>
        </w:rPr>
      </w:pPr>
      <w:r>
        <w:rPr>
          <w:rFonts w:ascii="Verdana" w:hAnsi="Verdana"/>
        </w:rPr>
        <w:t>Differences between p</w:t>
      </w:r>
      <w:r w:rsidR="00000000" w:rsidRPr="00A61F16">
        <w:rPr>
          <w:rFonts w:ascii="Verdana" w:hAnsi="Verdana"/>
        </w:rPr>
        <w:t>ain assessment tools</w:t>
      </w:r>
    </w:p>
    <w:p w14:paraId="0BF84ACA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Multidisciplinary pain management</w:t>
      </w:r>
    </w:p>
    <w:p w14:paraId="42FD74D0" w14:textId="77777777" w:rsidR="003E4A63" w:rsidRPr="00A61F16" w:rsidRDefault="00000000">
      <w:pPr>
        <w:pStyle w:val="Heading1"/>
        <w:rPr>
          <w:rFonts w:ascii="Verdana" w:hAnsi="Verdana"/>
          <w:color w:val="auto"/>
        </w:rPr>
      </w:pPr>
      <w:r w:rsidRPr="00A61F16">
        <w:rPr>
          <w:rFonts w:ascii="Verdana" w:hAnsi="Verdana"/>
          <w:color w:val="auto"/>
        </w:rPr>
        <w:t>Cortex, Cortical Blood Circulation and Cortical Control of Movement</w:t>
      </w:r>
    </w:p>
    <w:p w14:paraId="107726EF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Primary Motor Cortex</w:t>
      </w:r>
    </w:p>
    <w:p w14:paraId="461D4A5C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Supplementary Motor Area</w:t>
      </w:r>
    </w:p>
    <w:p w14:paraId="6CBA735A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Broca’s area</w:t>
      </w:r>
    </w:p>
    <w:p w14:paraId="47E82BEC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Primary somatosensory cortex</w:t>
      </w:r>
    </w:p>
    <w:p w14:paraId="30E9C9B0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Circle of Willis</w:t>
      </w:r>
    </w:p>
    <w:p w14:paraId="13EB2D52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Lesions in cerebral arteries</w:t>
      </w:r>
    </w:p>
    <w:p w14:paraId="40366819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Cortical layers and pyramidal cells</w:t>
      </w:r>
    </w:p>
    <w:p w14:paraId="02446199" w14:textId="77777777" w:rsidR="003E4A63" w:rsidRPr="00A61F16" w:rsidRDefault="00000000">
      <w:pPr>
        <w:pStyle w:val="Heading1"/>
        <w:rPr>
          <w:rFonts w:ascii="Verdana" w:hAnsi="Verdana"/>
          <w:color w:val="auto"/>
        </w:rPr>
      </w:pPr>
      <w:r w:rsidRPr="00A61F16">
        <w:rPr>
          <w:rFonts w:ascii="Verdana" w:hAnsi="Verdana"/>
          <w:color w:val="auto"/>
        </w:rPr>
        <w:t>Basal Ganglia, Brainstem, Cranial Nerves and Cerebellum</w:t>
      </w:r>
    </w:p>
    <w:p w14:paraId="1460EE3F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Basal ganglia functions</w:t>
      </w:r>
    </w:p>
    <w:p w14:paraId="65A09B30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Brainstem roles</w:t>
      </w:r>
    </w:p>
    <w:p w14:paraId="5D6E6909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Cranial nerve overview</w:t>
      </w:r>
    </w:p>
    <w:p w14:paraId="6FC06DFC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Cerebellum coordination</w:t>
      </w:r>
    </w:p>
    <w:p w14:paraId="44485615" w14:textId="77777777" w:rsidR="003E4A63" w:rsidRPr="00A61F16" w:rsidRDefault="00000000">
      <w:pPr>
        <w:pStyle w:val="Heading1"/>
        <w:rPr>
          <w:rFonts w:ascii="Verdana" w:hAnsi="Verdana"/>
          <w:color w:val="auto"/>
        </w:rPr>
      </w:pPr>
      <w:r w:rsidRPr="00A61F16">
        <w:rPr>
          <w:rFonts w:ascii="Verdana" w:hAnsi="Verdana"/>
          <w:color w:val="auto"/>
        </w:rPr>
        <w:t>Neuroplasticity, CNS Transmitters, Brain and Aging</w:t>
      </w:r>
    </w:p>
    <w:p w14:paraId="261B2F15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Principles of neuroplasticity</w:t>
      </w:r>
    </w:p>
    <w:p w14:paraId="7BEA0F18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Key CNS neurotransmitters</w:t>
      </w:r>
    </w:p>
    <w:p w14:paraId="5D51FD15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Age-related changes</w:t>
      </w:r>
    </w:p>
    <w:p w14:paraId="2D670817" w14:textId="77777777" w:rsidR="003E4A63" w:rsidRPr="00A61F16" w:rsidRDefault="00000000">
      <w:pPr>
        <w:pStyle w:val="Heading1"/>
        <w:rPr>
          <w:rFonts w:ascii="Verdana" w:hAnsi="Verdana"/>
          <w:color w:val="auto"/>
        </w:rPr>
      </w:pPr>
      <w:r w:rsidRPr="00A61F16">
        <w:rPr>
          <w:rFonts w:ascii="Verdana" w:hAnsi="Verdana"/>
          <w:color w:val="auto"/>
        </w:rPr>
        <w:t>Cardiorespiratory Physiology</w:t>
      </w:r>
    </w:p>
    <w:p w14:paraId="64AE1EB0" w14:textId="1D4AF396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 xml:space="preserve">Spirometry changes in </w:t>
      </w:r>
      <w:r w:rsidR="001E6C4F">
        <w:rPr>
          <w:rFonts w:ascii="Verdana" w:hAnsi="Verdana"/>
        </w:rPr>
        <w:t xml:space="preserve">conditions e.g. </w:t>
      </w:r>
      <w:r w:rsidRPr="00A61F16">
        <w:rPr>
          <w:rFonts w:ascii="Verdana" w:hAnsi="Verdana"/>
        </w:rPr>
        <w:t>COPD</w:t>
      </w:r>
    </w:p>
    <w:p w14:paraId="06DC38F5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Oxygen–haemoglobin dissociation curve</w:t>
      </w:r>
    </w:p>
    <w:p w14:paraId="4981BB83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Carbon dioxide transport</w:t>
      </w:r>
    </w:p>
    <w:p w14:paraId="11036663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lastRenderedPageBreak/>
        <w:t>Lung compliance</w:t>
      </w:r>
    </w:p>
    <w:p w14:paraId="4A7B969E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Ventilation/Perfusion ratio</w:t>
      </w:r>
    </w:p>
    <w:p w14:paraId="04F554CE" w14:textId="77777777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Gas exchange during exercise</w:t>
      </w:r>
    </w:p>
    <w:p w14:paraId="52C30694" w14:textId="77777777" w:rsidR="003E4A63" w:rsidRPr="00A61F16" w:rsidRDefault="00000000">
      <w:pPr>
        <w:pStyle w:val="Heading1"/>
        <w:rPr>
          <w:rFonts w:ascii="Verdana" w:hAnsi="Verdana"/>
          <w:color w:val="auto"/>
        </w:rPr>
      </w:pPr>
      <w:r w:rsidRPr="00A61F16">
        <w:rPr>
          <w:rFonts w:ascii="Verdana" w:hAnsi="Verdana"/>
          <w:color w:val="auto"/>
        </w:rPr>
        <w:t>Lumbar Spine</w:t>
      </w:r>
    </w:p>
    <w:p w14:paraId="1EE03EE4" w14:textId="592005B4" w:rsidR="003E4A63" w:rsidRPr="00A61F16" w:rsidRDefault="00000000">
      <w:pPr>
        <w:pStyle w:val="ListBullet"/>
        <w:rPr>
          <w:rFonts w:ascii="Verdana" w:hAnsi="Verdana"/>
        </w:rPr>
      </w:pPr>
      <w:r w:rsidRPr="00A61F16">
        <w:rPr>
          <w:rFonts w:ascii="Verdana" w:hAnsi="Verdana"/>
        </w:rPr>
        <w:t>Lumbar vertebrae</w:t>
      </w:r>
      <w:r w:rsidR="00A61F16">
        <w:rPr>
          <w:rFonts w:ascii="Verdana" w:hAnsi="Verdana"/>
        </w:rPr>
        <w:t xml:space="preserve"> and joint</w:t>
      </w:r>
      <w:r w:rsidRPr="00A61F16">
        <w:rPr>
          <w:rFonts w:ascii="Verdana" w:hAnsi="Verdana"/>
        </w:rPr>
        <w:t xml:space="preserve"> characteristics</w:t>
      </w:r>
    </w:p>
    <w:p w14:paraId="7D687BD3" w14:textId="46550C55" w:rsidR="003E4A63" w:rsidRDefault="00A61F16">
      <w:pPr>
        <w:pStyle w:val="ListBullet"/>
        <w:rPr>
          <w:rFonts w:ascii="Verdana" w:hAnsi="Verdana"/>
        </w:rPr>
      </w:pPr>
      <w:r>
        <w:rPr>
          <w:rFonts w:ascii="Verdana" w:hAnsi="Verdana"/>
        </w:rPr>
        <w:t>Pathophysiology and clinical presentation of common lumbar spine conditions</w:t>
      </w:r>
    </w:p>
    <w:p w14:paraId="2D348565" w14:textId="1055D247" w:rsidR="00A61F16" w:rsidRPr="00A61F16" w:rsidRDefault="00A61F16">
      <w:pPr>
        <w:pStyle w:val="ListBullet"/>
        <w:rPr>
          <w:rFonts w:ascii="Verdana" w:hAnsi="Verdana"/>
        </w:rPr>
      </w:pPr>
      <w:r>
        <w:rPr>
          <w:rFonts w:ascii="Verdana" w:hAnsi="Verdana"/>
        </w:rPr>
        <w:t>Biopsychosocial factors to common lumbar spine conditions</w:t>
      </w:r>
    </w:p>
    <w:p w14:paraId="2C63470A" w14:textId="11B1914B" w:rsidR="003E4A63" w:rsidRPr="00A61F16" w:rsidRDefault="00A61F16">
      <w:pPr>
        <w:pStyle w:val="ListBullet"/>
        <w:rPr>
          <w:rFonts w:ascii="Verdana" w:hAnsi="Verdana"/>
        </w:rPr>
      </w:pPr>
      <w:r>
        <w:rPr>
          <w:rFonts w:ascii="Verdana" w:hAnsi="Verdana"/>
        </w:rPr>
        <w:t>Anatomy of the l</w:t>
      </w:r>
      <w:r w:rsidR="00000000" w:rsidRPr="00A61F16">
        <w:rPr>
          <w:rFonts w:ascii="Verdana" w:hAnsi="Verdana"/>
        </w:rPr>
        <w:t>umbosacral plexus nerves</w:t>
      </w:r>
    </w:p>
    <w:p w14:paraId="77A907FF" w14:textId="77777777" w:rsidR="003E4A63" w:rsidRPr="00A61F16" w:rsidRDefault="00000000">
      <w:pPr>
        <w:pStyle w:val="Heading1"/>
        <w:rPr>
          <w:rFonts w:ascii="Verdana" w:hAnsi="Verdana"/>
          <w:color w:val="auto"/>
        </w:rPr>
      </w:pPr>
      <w:r w:rsidRPr="00A61F16">
        <w:rPr>
          <w:rFonts w:ascii="Verdana" w:hAnsi="Verdana"/>
          <w:color w:val="auto"/>
        </w:rPr>
        <w:t>Thoracic Spine</w:t>
      </w:r>
    </w:p>
    <w:p w14:paraId="6891901B" w14:textId="54A6122B" w:rsidR="00A61F16" w:rsidRPr="00A61F16" w:rsidRDefault="00A61F16" w:rsidP="00A61F16">
      <w:pPr>
        <w:pStyle w:val="ListBullet"/>
        <w:rPr>
          <w:rFonts w:ascii="Verdana" w:hAnsi="Verdana"/>
        </w:rPr>
      </w:pPr>
      <w:r>
        <w:rPr>
          <w:rFonts w:ascii="Verdana" w:hAnsi="Verdana"/>
        </w:rPr>
        <w:t>Thoracic</w:t>
      </w:r>
      <w:r w:rsidRPr="00A61F16">
        <w:rPr>
          <w:rFonts w:ascii="Verdana" w:hAnsi="Verdana"/>
        </w:rPr>
        <w:t xml:space="preserve"> vertebrae </w:t>
      </w:r>
      <w:r>
        <w:rPr>
          <w:rFonts w:ascii="Verdana" w:hAnsi="Verdana"/>
        </w:rPr>
        <w:t xml:space="preserve">and joint </w:t>
      </w:r>
      <w:r w:rsidRPr="00A61F16">
        <w:rPr>
          <w:rFonts w:ascii="Verdana" w:hAnsi="Verdana"/>
        </w:rPr>
        <w:t>characteristics</w:t>
      </w:r>
    </w:p>
    <w:p w14:paraId="33524024" w14:textId="007C57A8" w:rsidR="00A61F16" w:rsidRDefault="00A61F16" w:rsidP="00A61F16">
      <w:pPr>
        <w:pStyle w:val="ListBullet"/>
        <w:rPr>
          <w:rFonts w:ascii="Verdana" w:hAnsi="Verdana"/>
        </w:rPr>
      </w:pPr>
      <w:r>
        <w:rPr>
          <w:rFonts w:ascii="Verdana" w:hAnsi="Verdana"/>
        </w:rPr>
        <w:t xml:space="preserve">Pathophysiology and clinical presentation of common </w:t>
      </w:r>
      <w:r>
        <w:rPr>
          <w:rFonts w:ascii="Verdana" w:hAnsi="Verdana"/>
        </w:rPr>
        <w:t>thoracic</w:t>
      </w:r>
      <w:r>
        <w:rPr>
          <w:rFonts w:ascii="Verdana" w:hAnsi="Verdana"/>
        </w:rPr>
        <w:t xml:space="preserve"> spine conditions</w:t>
      </w:r>
    </w:p>
    <w:p w14:paraId="757360DE" w14:textId="29A15448" w:rsidR="00A61F16" w:rsidRPr="00A61F16" w:rsidRDefault="00A61F16" w:rsidP="00A61F16">
      <w:pPr>
        <w:pStyle w:val="ListBullet"/>
        <w:rPr>
          <w:rFonts w:ascii="Verdana" w:hAnsi="Verdana"/>
        </w:rPr>
      </w:pPr>
      <w:r>
        <w:rPr>
          <w:rFonts w:ascii="Verdana" w:hAnsi="Verdana"/>
        </w:rPr>
        <w:t xml:space="preserve">Biopsychosocial factors to common </w:t>
      </w:r>
      <w:r>
        <w:rPr>
          <w:rFonts w:ascii="Verdana" w:hAnsi="Verdana"/>
        </w:rPr>
        <w:t>thoracic</w:t>
      </w:r>
      <w:r>
        <w:rPr>
          <w:rFonts w:ascii="Verdana" w:hAnsi="Verdana"/>
        </w:rPr>
        <w:t xml:space="preserve"> spine conditions</w:t>
      </w:r>
    </w:p>
    <w:p w14:paraId="6DC6E4FB" w14:textId="77777777" w:rsidR="003E4A63" w:rsidRPr="00A61F16" w:rsidRDefault="00000000">
      <w:pPr>
        <w:pStyle w:val="Heading1"/>
        <w:rPr>
          <w:rFonts w:ascii="Verdana" w:hAnsi="Verdana"/>
          <w:color w:val="auto"/>
        </w:rPr>
      </w:pPr>
      <w:r w:rsidRPr="00A61F16">
        <w:rPr>
          <w:rFonts w:ascii="Verdana" w:hAnsi="Verdana"/>
          <w:color w:val="auto"/>
        </w:rPr>
        <w:t>Cervical Spine</w:t>
      </w:r>
    </w:p>
    <w:p w14:paraId="6B5C96CC" w14:textId="4E6F2D8C" w:rsidR="00A61F16" w:rsidRPr="00A61F16" w:rsidRDefault="00A61F16" w:rsidP="00A61F16">
      <w:pPr>
        <w:pStyle w:val="ListBullet"/>
        <w:rPr>
          <w:rFonts w:ascii="Verdana" w:hAnsi="Verdana"/>
        </w:rPr>
      </w:pPr>
      <w:r>
        <w:rPr>
          <w:rFonts w:ascii="Verdana" w:hAnsi="Verdana"/>
        </w:rPr>
        <w:t>Cervical</w:t>
      </w:r>
      <w:r w:rsidRPr="00A61F16">
        <w:rPr>
          <w:rFonts w:ascii="Verdana" w:hAnsi="Verdana"/>
        </w:rPr>
        <w:t xml:space="preserve"> vertebrae </w:t>
      </w:r>
      <w:r>
        <w:rPr>
          <w:rFonts w:ascii="Verdana" w:hAnsi="Verdana"/>
        </w:rPr>
        <w:t xml:space="preserve">and joint </w:t>
      </w:r>
      <w:r w:rsidRPr="00A61F16">
        <w:rPr>
          <w:rFonts w:ascii="Verdana" w:hAnsi="Verdana"/>
        </w:rPr>
        <w:t>characteristics</w:t>
      </w:r>
    </w:p>
    <w:p w14:paraId="5A120C0A" w14:textId="10AB9573" w:rsidR="00A61F16" w:rsidRDefault="00A61F16" w:rsidP="00A61F16">
      <w:pPr>
        <w:pStyle w:val="ListBullet"/>
        <w:rPr>
          <w:rFonts w:ascii="Verdana" w:hAnsi="Verdana"/>
        </w:rPr>
      </w:pPr>
      <w:r>
        <w:rPr>
          <w:rFonts w:ascii="Verdana" w:hAnsi="Verdana"/>
        </w:rPr>
        <w:t xml:space="preserve">Pathophysiology and clinical presentation of common </w:t>
      </w:r>
      <w:r>
        <w:rPr>
          <w:rFonts w:ascii="Verdana" w:hAnsi="Verdana"/>
        </w:rPr>
        <w:t>cervical</w:t>
      </w:r>
      <w:r>
        <w:rPr>
          <w:rFonts w:ascii="Verdana" w:hAnsi="Verdana"/>
        </w:rPr>
        <w:t xml:space="preserve"> spine conditions</w:t>
      </w:r>
    </w:p>
    <w:p w14:paraId="0164C643" w14:textId="3F723BBD" w:rsidR="00A61F16" w:rsidRPr="00A61F16" w:rsidRDefault="00A61F16" w:rsidP="00A61F16">
      <w:pPr>
        <w:pStyle w:val="ListBullet"/>
        <w:rPr>
          <w:rFonts w:ascii="Verdana" w:hAnsi="Verdana"/>
        </w:rPr>
      </w:pPr>
      <w:r>
        <w:rPr>
          <w:rFonts w:ascii="Verdana" w:hAnsi="Verdana"/>
        </w:rPr>
        <w:t xml:space="preserve">Biopsychosocial factors to common </w:t>
      </w:r>
      <w:r>
        <w:rPr>
          <w:rFonts w:ascii="Verdana" w:hAnsi="Verdana"/>
        </w:rPr>
        <w:t>cervical</w:t>
      </w:r>
      <w:r>
        <w:rPr>
          <w:rFonts w:ascii="Verdana" w:hAnsi="Verdana"/>
        </w:rPr>
        <w:t xml:space="preserve"> spine conditions</w:t>
      </w:r>
    </w:p>
    <w:p w14:paraId="307251D8" w14:textId="4BD89EEB" w:rsidR="003E4A63" w:rsidRPr="00A61F16" w:rsidRDefault="00A61F16" w:rsidP="00A61F16">
      <w:pPr>
        <w:pStyle w:val="ListBullet"/>
        <w:rPr>
          <w:rFonts w:ascii="Verdana" w:hAnsi="Verdana"/>
        </w:rPr>
      </w:pPr>
      <w:r>
        <w:rPr>
          <w:rFonts w:ascii="Verdana" w:hAnsi="Verdana"/>
        </w:rPr>
        <w:t xml:space="preserve">Anatomy of the </w:t>
      </w:r>
      <w:r>
        <w:rPr>
          <w:rFonts w:ascii="Verdana" w:hAnsi="Verdana"/>
        </w:rPr>
        <w:t>brachial</w:t>
      </w:r>
      <w:r w:rsidRPr="00A61F16">
        <w:rPr>
          <w:rFonts w:ascii="Verdana" w:hAnsi="Verdana"/>
        </w:rPr>
        <w:t xml:space="preserve"> plexus nerves</w:t>
      </w:r>
    </w:p>
    <w:sectPr w:rsidR="003E4A63" w:rsidRPr="00A61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E6C4F"/>
    <w:rsid w:val="001F40EA"/>
    <w:rsid w:val="002E51AB"/>
    <w:rsid w:val="00324B44"/>
    <w:rsid w:val="0036562D"/>
    <w:rsid w:val="003E4A63"/>
    <w:rsid w:val="004976E0"/>
    <w:rsid w:val="005A534A"/>
    <w:rsid w:val="00827C87"/>
    <w:rsid w:val="00A20880"/>
    <w:rsid w:val="00A352C8"/>
    <w:rsid w:val="00A61F16"/>
    <w:rsid w:val="00B41C2B"/>
    <w:rsid w:val="00C26D93"/>
    <w:rsid w:val="00C27141"/>
    <w:rsid w:val="00CE0C3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137CE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256</Words>
  <Characters>1967</Characters>
  <Application>Microsoft Office Word</Application>
  <DocSecurity>0</DocSecurity>
  <Lines>89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Paul Starrs</cp:lastModifiedBy>
  <cp:revision>2</cp:revision>
  <dcterms:created xsi:type="dcterms:W3CDTF">2025-12-18T16:56:00Z</dcterms:created>
  <dcterms:modified xsi:type="dcterms:W3CDTF">2025-12-18T16:56:00Z</dcterms:modified>
</cp:coreProperties>
</file>