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2C861AF0"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F753F3">
        <w:rPr>
          <w:rFonts w:eastAsia="Arial Unicode MS" w:cstheme="minorHAnsi"/>
          <w:color w:val="262626" w:themeColor="text1" w:themeTint="D9"/>
          <w:sz w:val="21"/>
          <w:szCs w:val="21"/>
        </w:rPr>
        <w:t>5</w:t>
      </w:r>
      <w:bookmarkStart w:id="0" w:name="_GoBack"/>
      <w:bookmarkEnd w:id="0"/>
      <w:r w:rsidR="007F474B" w:rsidRPr="00E13170">
        <w:rPr>
          <w:rFonts w:eastAsia="Arial Unicode MS" w:cstheme="minorHAnsi"/>
          <w:color w:val="262626" w:themeColor="text1" w:themeTint="D9"/>
          <w:sz w:val="21"/>
          <w:szCs w:val="21"/>
        </w:rPr>
        <w:t>-</w:t>
      </w:r>
      <w:r w:rsidR="002448DB">
        <w:rPr>
          <w:rFonts w:eastAsia="Arial Unicode MS" w:cstheme="minorHAnsi"/>
          <w:color w:val="262626" w:themeColor="text1" w:themeTint="D9"/>
          <w:sz w:val="21"/>
          <w:szCs w:val="21"/>
        </w:rPr>
        <w:t xml:space="preserve">8000423 </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2BE441A3" w14:textId="71EBAC99" w:rsidR="008F0792" w:rsidRDefault="006B74E8" w:rsidP="008F0792">
      <w:pPr>
        <w:tabs>
          <w:tab w:val="right" w:pos="9360"/>
        </w:tabs>
        <w:jc w:val="both"/>
        <w:rPr>
          <w:noProof/>
        </w:rPr>
      </w:pPr>
      <w:r w:rsidRPr="00D3770C">
        <w:rPr>
          <w:noProof/>
          <w:sz w:val="20"/>
          <w:szCs w:val="20"/>
        </w:rPr>
        <mc:AlternateContent>
          <mc:Choice Requires="wps">
            <w:drawing>
              <wp:anchor distT="0" distB="0" distL="114300" distR="114300" simplePos="0" relativeHeight="251672576" behindDoc="1" locked="0" layoutInCell="1" allowOverlap="1" wp14:anchorId="7FEDC8E3" wp14:editId="07BE7B3F">
                <wp:simplePos x="0" y="0"/>
                <wp:positionH relativeFrom="margin">
                  <wp:posOffset>-34290</wp:posOffset>
                </wp:positionH>
                <wp:positionV relativeFrom="page">
                  <wp:posOffset>3484245</wp:posOffset>
                </wp:positionV>
                <wp:extent cx="6309360" cy="0"/>
                <wp:effectExtent l="0" t="0" r="34290" b="19050"/>
                <wp:wrapTight wrapText="bothSides">
                  <wp:wrapPolygon edited="0">
                    <wp:start x="0" y="-1"/>
                    <wp:lineTo x="0" y="-1"/>
                    <wp:lineTo x="21652" y="-1"/>
                    <wp:lineTo x="21652" y="-1"/>
                    <wp:lineTo x="0" y="-1"/>
                  </wp:wrapPolygon>
                </wp:wrapTight>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733CF2" id="Straight Connector 7" o:spid="_x0000_s1026" style="position:absolute;z-index:-25164390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2.7pt,274.35pt" to="494.1pt,2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" strokecolor="#272727 [2749]" strokeweight=".5pt">
                <v:stroke joinstyle="miter"/>
                <w10:wrap type="tight" anchorx="margin" anchory="page"/>
              </v:line>
            </w:pict>
          </mc:Fallback>
        </mc:AlternateContent>
      </w:r>
      <w:r w:rsidR="00407788" w:rsidRPr="00407788">
        <w:rPr>
          <w:noProof/>
          <w:sz w:val="20"/>
          <w:szCs w:val="20"/>
        </w:rPr>
        <w:t>Contract management and procurement specialist with 6+ years of experience in large-scale EPC and engineering projects across the GCC. Skilled in contract interpretation, product support administration, supplier performance management, and warranty/claims handling. Proven success in negotiating multimillion-dollar agreements, enhancing cost efficiency, and implementing digital contract systems. Adept at collaborating with engineering, procurement, legal, and finance teams to ensure compliance and maximize commercial benefits</w:t>
      </w:r>
      <w:r w:rsidRPr="006B74E8">
        <w:rPr>
          <w:noProof/>
          <w:sz w:val="20"/>
          <w:szCs w:val="20"/>
        </w:rPr>
        <w:t>.</w:t>
      </w:r>
    </w:p>
    <w:p w14:paraId="38A8D8C5" w14:textId="3FCD1ED6" w:rsidR="00E13170" w:rsidRPr="00D3770C" w:rsidRDefault="00D3770C" w:rsidP="00FF657D">
      <w:pPr>
        <w:tabs>
          <w:tab w:val="right" w:pos="9360"/>
        </w:tabs>
        <w:spacing w:before="360"/>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7BB9F559">
                <wp:simplePos x="0" y="0"/>
                <wp:positionH relativeFrom="margin">
                  <wp:posOffset>-34290</wp:posOffset>
                </wp:positionH>
                <wp:positionV relativeFrom="paragraph">
                  <wp:posOffset>378460</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09696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7pt,29.8pt" to="494.1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BD34594" w:rsidR="00E13170" w:rsidRPr="00022D6B" w:rsidRDefault="00E13170" w:rsidP="00FF657D">
      <w:pPr>
        <w:tabs>
          <w:tab w:val="right" w:pos="9360"/>
        </w:tabs>
        <w:rPr>
          <w:rFonts w:eastAsia="Cambria" w:cstheme="minorHAnsi"/>
          <w:sz w:val="10"/>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w:t>
      </w:r>
      <w:proofErr w:type="spellStart"/>
      <w:r w:rsidR="00D50CD4" w:rsidRPr="0088228A">
        <w:rPr>
          <w:rFonts w:ascii="Palatino Linotype" w:eastAsia="Cambria" w:hAnsi="Palatino Linotype" w:cstheme="minorHAnsi"/>
          <w:b/>
          <w:sz w:val="21"/>
          <w:szCs w:val="21"/>
        </w:rPr>
        <w:t>Tabreed</w:t>
      </w:r>
      <w:proofErr w:type="spellEnd"/>
      <w:r w:rsidR="00D50CD4"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8E1A69C"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w:t>
      </w:r>
      <w:r w:rsidR="00407788">
        <w:rPr>
          <w:rFonts w:eastAsia="Arial Unicode MS" w:cstheme="minorHAnsi"/>
          <w:color w:val="262626" w:themeColor="text1" w:themeTint="D9"/>
          <w:sz w:val="21"/>
          <w:szCs w:val="21"/>
        </w:rPr>
        <w:t xml:space="preserve"> driving ITT processes till</w:t>
      </w:r>
      <w:r w:rsidRPr="009679EB">
        <w:rPr>
          <w:rFonts w:eastAsia="Arial Unicode MS" w:cstheme="minorHAnsi"/>
          <w:color w:val="262626" w:themeColor="text1" w:themeTint="D9"/>
          <w:sz w:val="21"/>
          <w:szCs w:val="21"/>
        </w:rPr>
        <w:t xml:space="preserve"> contract establishment</w:t>
      </w:r>
    </w:p>
    <w:p w14:paraId="670ADC13" w14:textId="05DBEEED"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w:t>
      </w:r>
      <w:r w:rsidRPr="00407788">
        <w:rPr>
          <w:rFonts w:eastAsia="Arial Unicode MS" w:cstheme="minorHAnsi"/>
          <w:b/>
          <w:color w:val="262626" w:themeColor="text1" w:themeTint="D9"/>
          <w:sz w:val="21"/>
          <w:szCs w:val="21"/>
        </w:rPr>
        <w:t>15%</w:t>
      </w:r>
      <w:r w:rsidRPr="009D38AF">
        <w:rPr>
          <w:rFonts w:eastAsia="Arial Unicode MS" w:cstheme="minorHAnsi"/>
          <w:color w:val="262626" w:themeColor="text1" w:themeTint="D9"/>
          <w:sz w:val="21"/>
          <w:szCs w:val="21"/>
        </w:rPr>
        <w:t xml:space="preserve"> cost </w:t>
      </w:r>
      <w:r>
        <w:rPr>
          <w:rFonts w:eastAsia="Arial Unicode MS" w:cstheme="minorHAnsi"/>
          <w:color w:val="262626" w:themeColor="text1" w:themeTint="D9"/>
          <w:sz w:val="21"/>
          <w:szCs w:val="21"/>
        </w:rPr>
        <w:t>savings</w:t>
      </w:r>
    </w:p>
    <w:p w14:paraId="345E2A35" w14:textId="26A9BD50" w:rsidR="004451E1" w:rsidRPr="009D38AF"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Supported techno-commercial analysis by evaluating project requirements and cost implications</w:t>
      </w:r>
      <w:r w:rsidR="00282C67" w:rsidRPr="009D38AF">
        <w:rPr>
          <w:rFonts w:eastAsia="Arial Unicode MS" w:cstheme="minorHAnsi"/>
          <w:color w:val="262626" w:themeColor="text1" w:themeTint="D9"/>
          <w:sz w:val="21"/>
          <w:szCs w:val="21"/>
        </w:rPr>
        <w:t xml:space="preserve"> </w:t>
      </w:r>
    </w:p>
    <w:p w14:paraId="0CDE85A1" w14:textId="705195C5"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 xml:space="preserve">Built long-term framework agreements with key OEMs, cutting sourcing cycle times by </w:t>
      </w:r>
      <w:r w:rsidR="00407788">
        <w:rPr>
          <w:rFonts w:eastAsia="Arial Unicode MS" w:cstheme="minorHAnsi"/>
          <w:b/>
          <w:color w:val="262626" w:themeColor="text1" w:themeTint="D9"/>
          <w:sz w:val="21"/>
          <w:szCs w:val="21"/>
        </w:rPr>
        <w:t>50%</w:t>
      </w:r>
    </w:p>
    <w:p w14:paraId="09B592B8" w14:textId="0B19A6C1" w:rsidR="00407788" w:rsidRDefault="00407788" w:rsidP="00407788">
      <w:pPr>
        <w:numPr>
          <w:ilvl w:val="0"/>
          <w:numId w:val="5"/>
        </w:numPr>
        <w:tabs>
          <w:tab w:val="right" w:pos="9360"/>
        </w:tabs>
        <w:spacing w:after="0"/>
        <w:contextualSpacing/>
        <w:rPr>
          <w:rFonts w:eastAsia="Arial Unicode MS" w:cstheme="minorHAnsi"/>
          <w:color w:val="262626" w:themeColor="text1" w:themeTint="D9"/>
          <w:sz w:val="21"/>
          <w:szCs w:val="21"/>
        </w:rPr>
      </w:pPr>
      <w:r w:rsidRPr="00407788">
        <w:rPr>
          <w:rFonts w:eastAsia="Arial Unicode MS" w:cstheme="minorHAnsi"/>
          <w:color w:val="262626" w:themeColor="text1" w:themeTint="D9"/>
          <w:sz w:val="21"/>
          <w:szCs w:val="21"/>
        </w:rPr>
        <w:t>Administered variations, and warranty terms, ensuring timely recovery of remedies and financial benefits</w:t>
      </w:r>
    </w:p>
    <w:p w14:paraId="072D5156" w14:textId="15CA4083" w:rsidR="00022D6B" w:rsidRPr="00407788" w:rsidRDefault="00661A57" w:rsidP="00407788">
      <w:pPr>
        <w:numPr>
          <w:ilvl w:val="0"/>
          <w:numId w:val="5"/>
        </w:numPr>
        <w:tabs>
          <w:tab w:val="right" w:pos="9360"/>
        </w:tabs>
        <w:spacing w:after="0"/>
        <w:contextualSpacing/>
        <w:rPr>
          <w:rFonts w:eastAsia="Arial Unicode MS" w:cstheme="minorHAnsi"/>
          <w:color w:val="262626" w:themeColor="text1" w:themeTint="D9"/>
          <w:sz w:val="21"/>
          <w:szCs w:val="21"/>
        </w:rPr>
      </w:pPr>
      <w:r w:rsidRPr="00407788">
        <w:rPr>
          <w:rFonts w:eastAsia="Arial Unicode MS" w:cstheme="minorHAnsi"/>
          <w:color w:val="262626" w:themeColor="text1" w:themeTint="D9"/>
          <w:sz w:val="21"/>
          <w:szCs w:val="21"/>
        </w:rPr>
        <w:t>Im</w:t>
      </w:r>
      <w:r w:rsidR="00FE3030" w:rsidRPr="00407788">
        <w:rPr>
          <w:rFonts w:eastAsia="Arial Unicode MS" w:cstheme="minorHAnsi"/>
          <w:color w:val="262626" w:themeColor="text1" w:themeTint="D9"/>
          <w:sz w:val="21"/>
          <w:szCs w:val="21"/>
        </w:rPr>
        <w:t xml:space="preserve">proved the cash flow by securing </w:t>
      </w:r>
      <w:r w:rsidR="00FE3030" w:rsidRPr="00407788">
        <w:rPr>
          <w:rFonts w:eastAsia="Arial Unicode MS" w:cstheme="minorHAnsi"/>
          <w:b/>
          <w:color w:val="262626" w:themeColor="text1" w:themeTint="D9"/>
          <w:sz w:val="21"/>
          <w:szCs w:val="21"/>
        </w:rPr>
        <w:t xml:space="preserve">90 – 120 </w:t>
      </w:r>
      <w:r w:rsidR="00FE3030" w:rsidRPr="00407788">
        <w:rPr>
          <w:rFonts w:eastAsia="Arial Unicode MS" w:cstheme="minorHAnsi"/>
          <w:color w:val="262626" w:themeColor="text1" w:themeTint="D9"/>
          <w:sz w:val="21"/>
          <w:szCs w:val="21"/>
        </w:rPr>
        <w:t xml:space="preserve">days payment terms </w:t>
      </w:r>
    </w:p>
    <w:p w14:paraId="1C0801CC" w14:textId="2654554F" w:rsidR="00DD05B0" w:rsidRDefault="00407788" w:rsidP="00407788">
      <w:pPr>
        <w:numPr>
          <w:ilvl w:val="0"/>
          <w:numId w:val="5"/>
        </w:numPr>
        <w:tabs>
          <w:tab w:val="right" w:pos="9360"/>
        </w:tabs>
        <w:spacing w:after="0"/>
        <w:contextualSpacing/>
        <w:jc w:val="both"/>
        <w:rPr>
          <w:rFonts w:eastAsia="Arial Unicode MS" w:cstheme="minorHAnsi"/>
          <w:color w:val="262626" w:themeColor="text1" w:themeTint="D9"/>
          <w:sz w:val="21"/>
          <w:szCs w:val="21"/>
        </w:rPr>
      </w:pPr>
      <w:r w:rsidRPr="00407788">
        <w:rPr>
          <w:rFonts w:eastAsia="Arial Unicode MS" w:cstheme="minorHAnsi"/>
          <w:color w:val="262626" w:themeColor="text1" w:themeTint="D9"/>
          <w:sz w:val="21"/>
          <w:szCs w:val="21"/>
        </w:rPr>
        <w:t xml:space="preserve">Digitized contract summaries and workflows using </w:t>
      </w:r>
      <w:r>
        <w:rPr>
          <w:rFonts w:eastAsia="Arial Unicode MS" w:cstheme="minorHAnsi"/>
          <w:color w:val="262626" w:themeColor="text1" w:themeTint="D9"/>
          <w:sz w:val="21"/>
          <w:szCs w:val="21"/>
        </w:rPr>
        <w:t>SAP</w:t>
      </w:r>
      <w:r w:rsidRPr="00407788">
        <w:rPr>
          <w:rFonts w:eastAsia="Arial Unicode MS" w:cstheme="minorHAnsi"/>
          <w:color w:val="262626" w:themeColor="text1" w:themeTint="D9"/>
          <w:sz w:val="21"/>
          <w:szCs w:val="21"/>
        </w:rPr>
        <w:t>, enabling efficient access for internal stakeholders</w:t>
      </w:r>
    </w:p>
    <w:p w14:paraId="0C598375" w14:textId="77777777" w:rsidR="00407788" w:rsidRPr="00407788" w:rsidRDefault="00407788" w:rsidP="00407788">
      <w:pPr>
        <w:tabs>
          <w:tab w:val="right" w:pos="9360"/>
        </w:tabs>
        <w:spacing w:after="0"/>
        <w:ind w:left="720"/>
        <w:contextualSpacing/>
        <w:jc w:val="both"/>
        <w:rPr>
          <w:rFonts w:eastAsia="Arial Unicode MS" w:cstheme="minorHAnsi"/>
          <w:color w:val="262626" w:themeColor="text1" w:themeTint="D9"/>
          <w:sz w:val="21"/>
          <w:szCs w:val="21"/>
        </w:rPr>
      </w:pPr>
    </w:p>
    <w:p w14:paraId="161D24C4" w14:textId="5A466BF8"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2448DB">
        <w:rPr>
          <w:rFonts w:ascii="Palatino Linotype" w:eastAsia="Cambria" w:hAnsi="Palatino Linotype" w:cstheme="minorHAnsi"/>
          <w:b/>
          <w:sz w:val="21"/>
          <w:szCs w:val="21"/>
        </w:rPr>
        <w:t>Florence Fiber Glass</w:t>
      </w:r>
      <w:r w:rsidR="002E05AA" w:rsidRPr="00DD05B0">
        <w:rPr>
          <w:rFonts w:ascii="Palatino Linotype" w:eastAsia="Cambria" w:hAnsi="Palatino Linotype" w:cstheme="minorHAnsi"/>
          <w:b/>
          <w:sz w:val="21"/>
          <w:szCs w:val="21"/>
        </w:rPr>
        <w:t xml:space="preserve"> •</w:t>
      </w:r>
      <w:r w:rsidR="002448DB">
        <w:rPr>
          <w:rFonts w:ascii="Palatino Linotype" w:eastAsia="Cambria" w:hAnsi="Palatino Linotype" w:cstheme="minorHAnsi"/>
          <w:b/>
          <w:sz w:val="21"/>
          <w:szCs w:val="21"/>
        </w:rPr>
        <w:t xml:space="preserve"> Ajman</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w:t>
      </w:r>
      <w:r w:rsidRPr="00407788">
        <w:rPr>
          <w:rFonts w:eastAsia="Arial Unicode MS" w:cstheme="minorHAnsi"/>
          <w:b/>
          <w:color w:val="262626" w:themeColor="text1" w:themeTint="D9"/>
          <w:sz w:val="21"/>
          <w:szCs w:val="21"/>
        </w:rPr>
        <w:t>$100,000</w:t>
      </w:r>
      <w:r w:rsidRPr="000845E8">
        <w:rPr>
          <w:rFonts w:eastAsia="Arial Unicode MS" w:cstheme="minorHAnsi"/>
          <w:color w:val="262626" w:themeColor="text1" w:themeTint="D9"/>
          <w:sz w:val="21"/>
          <w:szCs w:val="21"/>
        </w:rPr>
        <w:t xml:space="preserve">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sidRPr="00407788">
        <w:rPr>
          <w:rFonts w:eastAsia="Arial Unicode MS" w:cstheme="minorHAnsi"/>
          <w:b/>
          <w:color w:val="262626" w:themeColor="text1" w:themeTint="D9"/>
          <w:sz w:val="21"/>
          <w:szCs w:val="21"/>
        </w:rPr>
        <w:t>10%</w:t>
      </w:r>
      <w:r w:rsidR="003A1C35">
        <w:rPr>
          <w:rFonts w:eastAsia="Arial Unicode MS" w:cstheme="minorHAnsi"/>
          <w:color w:val="262626" w:themeColor="text1" w:themeTint="D9"/>
          <w:sz w:val="21"/>
          <w:szCs w:val="21"/>
        </w:rPr>
        <w:t xml:space="preserve">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w:t>
      </w:r>
      <w:r w:rsidRPr="00407788">
        <w:rPr>
          <w:rFonts w:eastAsia="Arial Unicode MS" w:cstheme="minorHAnsi"/>
          <w:b/>
          <w:color w:val="262626" w:themeColor="text1" w:themeTint="D9"/>
          <w:sz w:val="21"/>
          <w:szCs w:val="21"/>
        </w:rPr>
        <w:t>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4D41CFE3" w14:textId="00CAAF03" w:rsidR="009D38AF" w:rsidRPr="00FF657D" w:rsidRDefault="003A1C35" w:rsidP="00FF657D">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47228D14" w:rsidR="00D20475"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Contract Drafting (FIDIC)</w:t>
      </w:r>
    </w:p>
    <w:p w14:paraId="138B0B10" w14:textId="5C2E90CF" w:rsidR="008F0792"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Cost Estimation</w:t>
      </w:r>
    </w:p>
    <w:p w14:paraId="4B4E4553" w14:textId="07CEE3B7" w:rsidR="008F0792" w:rsidRPr="00C7697F"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Budgeting</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49EDF676"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407788">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87D2BC" w14:textId="77777777" w:rsidR="003844CE" w:rsidRDefault="003844CE">
      <w:pPr>
        <w:spacing w:after="0" w:line="240" w:lineRule="auto"/>
      </w:pPr>
      <w:r>
        <w:separator/>
      </w:r>
    </w:p>
  </w:endnote>
  <w:endnote w:type="continuationSeparator" w:id="0">
    <w:p w14:paraId="3E260262" w14:textId="77777777" w:rsidR="003844CE" w:rsidRDefault="00384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115259" w14:textId="77777777" w:rsidR="003844CE" w:rsidRDefault="003844CE">
      <w:pPr>
        <w:spacing w:after="0" w:line="240" w:lineRule="auto"/>
      </w:pPr>
      <w:r>
        <w:separator/>
      </w:r>
    </w:p>
  </w:footnote>
  <w:footnote w:type="continuationSeparator" w:id="0">
    <w:p w14:paraId="2AF9AEBA" w14:textId="77777777" w:rsidR="003844CE" w:rsidRDefault="003844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3844C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121D91"/>
    <w:rsid w:val="00127847"/>
    <w:rsid w:val="00131CC8"/>
    <w:rsid w:val="001625AB"/>
    <w:rsid w:val="00194C23"/>
    <w:rsid w:val="001C548B"/>
    <w:rsid w:val="00206CE5"/>
    <w:rsid w:val="00217AE5"/>
    <w:rsid w:val="00235CE2"/>
    <w:rsid w:val="002448DB"/>
    <w:rsid w:val="00282C67"/>
    <w:rsid w:val="00284D24"/>
    <w:rsid w:val="002E05AA"/>
    <w:rsid w:val="00304D6C"/>
    <w:rsid w:val="00346052"/>
    <w:rsid w:val="003844CE"/>
    <w:rsid w:val="003A1C35"/>
    <w:rsid w:val="003B3E38"/>
    <w:rsid w:val="003B7666"/>
    <w:rsid w:val="003E3F42"/>
    <w:rsid w:val="003F4307"/>
    <w:rsid w:val="00407788"/>
    <w:rsid w:val="004451E1"/>
    <w:rsid w:val="00495D10"/>
    <w:rsid w:val="004A5234"/>
    <w:rsid w:val="004B0E23"/>
    <w:rsid w:val="004D250C"/>
    <w:rsid w:val="004D77B3"/>
    <w:rsid w:val="004E7B27"/>
    <w:rsid w:val="00571ECE"/>
    <w:rsid w:val="00607012"/>
    <w:rsid w:val="00653E86"/>
    <w:rsid w:val="00661A57"/>
    <w:rsid w:val="006727EC"/>
    <w:rsid w:val="006B74E8"/>
    <w:rsid w:val="00721C10"/>
    <w:rsid w:val="007E4651"/>
    <w:rsid w:val="007F36D7"/>
    <w:rsid w:val="007F474B"/>
    <w:rsid w:val="00841005"/>
    <w:rsid w:val="00864F6A"/>
    <w:rsid w:val="0088228A"/>
    <w:rsid w:val="008D2AF9"/>
    <w:rsid w:val="008F0792"/>
    <w:rsid w:val="00931427"/>
    <w:rsid w:val="00966B5B"/>
    <w:rsid w:val="009679EB"/>
    <w:rsid w:val="009A35EF"/>
    <w:rsid w:val="009D38AF"/>
    <w:rsid w:val="00A4025C"/>
    <w:rsid w:val="00A51CB8"/>
    <w:rsid w:val="00A83C98"/>
    <w:rsid w:val="00A925A3"/>
    <w:rsid w:val="00AB79B5"/>
    <w:rsid w:val="00B32B3E"/>
    <w:rsid w:val="00B463B2"/>
    <w:rsid w:val="00BC3C2D"/>
    <w:rsid w:val="00BC7CDB"/>
    <w:rsid w:val="00BD17C4"/>
    <w:rsid w:val="00BE1404"/>
    <w:rsid w:val="00BF3AB9"/>
    <w:rsid w:val="00BF4019"/>
    <w:rsid w:val="00C07E12"/>
    <w:rsid w:val="00C7129A"/>
    <w:rsid w:val="00C7697F"/>
    <w:rsid w:val="00CE385A"/>
    <w:rsid w:val="00D122A9"/>
    <w:rsid w:val="00D20475"/>
    <w:rsid w:val="00D3770C"/>
    <w:rsid w:val="00D50428"/>
    <w:rsid w:val="00D50CD4"/>
    <w:rsid w:val="00D724F3"/>
    <w:rsid w:val="00DA53C4"/>
    <w:rsid w:val="00DD05B0"/>
    <w:rsid w:val="00E13170"/>
    <w:rsid w:val="00E9494A"/>
    <w:rsid w:val="00F007FB"/>
    <w:rsid w:val="00F43C50"/>
    <w:rsid w:val="00F753F3"/>
    <w:rsid w:val="00F97A7F"/>
    <w:rsid w:val="00FA47BF"/>
    <w:rsid w:val="00FE3030"/>
    <w:rsid w:val="00FF6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1385</TotalTime>
  <Pages>2</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14</cp:revision>
  <cp:lastPrinted>2025-10-08T13:52:00Z</cp:lastPrinted>
  <dcterms:created xsi:type="dcterms:W3CDTF">2024-09-28T06:43:00Z</dcterms:created>
  <dcterms:modified xsi:type="dcterms:W3CDTF">2025-10-08T13:53:00Z</dcterms:modified>
</cp:coreProperties>
</file>