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5CC4D551" w:rsidR="007F474B" w:rsidRPr="002E05AA" w:rsidRDefault="00127847"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14:paraId="27804E61" w14:textId="507F2069"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0032D1B8"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r w:rsidR="007F474B" w:rsidRPr="00E13170">
        <w:rPr>
          <w:rFonts w:eastAsia="Arial Unicode MS" w:cstheme="minorHAnsi"/>
          <w:color w:val="262626" w:themeColor="text1" w:themeTint="D9"/>
          <w:sz w:val="21"/>
          <w:szCs w:val="21"/>
        </w:rPr>
        <w:t xml:space="preserve"> </w:t>
      </w:r>
    </w:p>
    <w:p w14:paraId="43D192BA" w14:textId="77777777" w:rsidR="00D50CD4" w:rsidRDefault="00D50CD4" w:rsidP="00D50CD4">
      <w:pPr>
        <w:tabs>
          <w:tab w:val="right" w:pos="10080"/>
        </w:tabs>
        <w:spacing w:after="80"/>
        <w:rPr>
          <w:rFonts w:eastAsia="Arial Unicode MS" w:cstheme="minorHAnsi"/>
          <w:color w:val="262626" w:themeColor="text1" w:themeTint="D9"/>
          <w:sz w:val="21"/>
          <w:szCs w:val="21"/>
        </w:rPr>
      </w:pPr>
    </w:p>
    <w:p w14:paraId="6A006AC7" w14:textId="3C806625" w:rsidR="00571ECE" w:rsidRDefault="00D724F3" w:rsidP="00C7697F">
      <w:pPr>
        <w:tabs>
          <w:tab w:val="right" w:pos="10080"/>
        </w:tabs>
        <w:spacing w:after="80"/>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Ambitious sourcing and procurement professional with a strong background in the utilities industry, skilled in managing complex supply chains, negotiating contracts, and ensuring cost-effective project delivery. Experienced in leading procurement for EPC projects, managing multimillion-dollar tenders, and building strategic supplier relationships. Seeking to leverage 4+ years of regional experience to </w:t>
      </w:r>
      <w:r w:rsidR="00661A57">
        <w:rPr>
          <w:rFonts w:eastAsia="Arial Unicode MS" w:cstheme="minorHAnsi"/>
          <w:color w:val="262626" w:themeColor="text1" w:themeTint="D9"/>
          <w:sz w:val="21"/>
          <w:szCs w:val="21"/>
        </w:rPr>
        <w:t>deliver</w:t>
      </w:r>
      <w:r w:rsidRPr="00D724F3">
        <w:rPr>
          <w:rFonts w:eastAsia="Arial Unicode MS" w:cstheme="minorHAnsi"/>
          <w:color w:val="262626" w:themeColor="text1" w:themeTint="D9"/>
          <w:sz w:val="21"/>
          <w:szCs w:val="21"/>
        </w:rPr>
        <w:t xml:space="preserve"> </w:t>
      </w:r>
      <w:r w:rsidR="00661A57">
        <w:rPr>
          <w:rFonts w:eastAsia="Arial Unicode MS" w:cstheme="minorHAnsi"/>
          <w:color w:val="262626" w:themeColor="text1" w:themeTint="D9"/>
          <w:sz w:val="21"/>
          <w:szCs w:val="21"/>
        </w:rPr>
        <w:t xml:space="preserve">reliable sourcing </w:t>
      </w:r>
      <w:r w:rsidR="00966B5B">
        <w:rPr>
          <w:rFonts w:eastAsia="Arial Unicode MS" w:cstheme="minorHAnsi"/>
          <w:color w:val="262626" w:themeColor="text1" w:themeTint="D9"/>
          <w:sz w:val="21"/>
          <w:szCs w:val="21"/>
        </w:rPr>
        <w:t>services</w:t>
      </w:r>
      <w:r w:rsidRPr="00D724F3">
        <w:rPr>
          <w:rFonts w:eastAsia="Arial Unicode MS" w:cstheme="minorHAnsi"/>
          <w:color w:val="262626" w:themeColor="text1" w:themeTint="D9"/>
          <w:sz w:val="21"/>
          <w:szCs w:val="21"/>
        </w:rPr>
        <w:t>.</w:t>
      </w:r>
    </w:p>
    <w:p w14:paraId="3FD19C33" w14:textId="3C63DB45" w:rsidR="002E05AA" w:rsidRPr="00571ECE" w:rsidRDefault="002E05AA" w:rsidP="00571ECE">
      <w:pPr>
        <w:tabs>
          <w:tab w:val="right" w:pos="10080"/>
        </w:tabs>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4FD56B8D">
                <wp:simplePos x="0" y="0"/>
                <wp:positionH relativeFrom="margin">
                  <wp:posOffset>-21590</wp:posOffset>
                </wp:positionH>
                <wp:positionV relativeFrom="paragraph">
                  <wp:posOffset>247015</wp:posOffset>
                </wp:positionV>
                <wp:extent cx="63093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1324BA0"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19.45pt" to="495.1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" strokecolor="#272727 [2749]" strokeweight=".5pt">
                <v:stroke joinstyle="miter"/>
                <w10:wrap anchorx="margin"/>
              </v:line>
            </w:pict>
          </mc:Fallback>
        </mc:AlternateConten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474DA1B" w:rsidR="00E13170" w:rsidRPr="00022D6B" w:rsidRDefault="00E13170" w:rsidP="00E13170">
      <w:pPr>
        <w:tabs>
          <w:tab w:val="right" w:pos="9360"/>
        </w:tabs>
        <w:jc w:val="right"/>
        <w:rPr>
          <w:rFonts w:eastAsia="Cambria" w:cstheme="minorHAnsi"/>
          <w:sz w:val="10"/>
        </w:rPr>
      </w:pPr>
    </w:p>
    <w:p w14:paraId="226CF240" w14:textId="3E62540B" w:rsidR="0088228A" w:rsidRDefault="00D50CD4"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National Central Cooling Company (</w:t>
      </w:r>
      <w:proofErr w:type="spellStart"/>
      <w:r w:rsidRPr="0088228A">
        <w:rPr>
          <w:rFonts w:ascii="Palatino Linotype" w:eastAsia="Cambria" w:hAnsi="Palatino Linotype" w:cstheme="minorHAnsi"/>
          <w:b/>
          <w:sz w:val="21"/>
          <w:szCs w:val="21"/>
        </w:rPr>
        <w:t>Tabreed</w:t>
      </w:r>
      <w:proofErr w:type="spellEnd"/>
      <w:r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w:t>
      </w:r>
      <w:bookmarkStart w:id="0" w:name="_GoBack"/>
      <w:bookmarkEnd w:id="0"/>
      <w:r w:rsidRPr="00D724F3">
        <w:rPr>
          <w:rFonts w:eastAsia="Arial Unicode MS" w:cstheme="minorHAnsi"/>
          <w:color w:val="262626" w:themeColor="text1" w:themeTint="D9"/>
          <w:sz w:val="21"/>
          <w:szCs w:val="21"/>
        </w:rPr>
        <w:t>s, and consultants to reduce OPEX and enhance DCP efficiency.</w:t>
      </w:r>
    </w:p>
    <w:p w14:paraId="27189C4A" w14:textId="3E04666E"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sidR="000E1BD4">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 overseeing tendering processes and contract establishment</w:t>
      </w:r>
    </w:p>
    <w:p w14:paraId="4BEC9981" w14:textId="640D5C63" w:rsidR="004451E1" w:rsidRDefault="00D724F3" w:rsidP="004451E1">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Administered</w:t>
      </w:r>
      <w:r w:rsidR="004451E1">
        <w:rPr>
          <w:rFonts w:eastAsia="Arial Unicode MS" w:cstheme="minorHAnsi"/>
          <w:color w:val="262626" w:themeColor="text1" w:themeTint="D9"/>
          <w:sz w:val="21"/>
          <w:szCs w:val="21"/>
        </w:rPr>
        <w:t xml:space="preserve"> multimillion-dollar CAPEX</w:t>
      </w:r>
      <w:r w:rsidR="004451E1" w:rsidRPr="004451E1">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projects</w:t>
      </w:r>
      <w:r w:rsidR="004451E1" w:rsidRPr="004451E1">
        <w:rPr>
          <w:rFonts w:eastAsia="Arial Unicode MS" w:cstheme="minorHAnsi"/>
          <w:color w:val="262626" w:themeColor="text1" w:themeTint="D9"/>
          <w:sz w:val="21"/>
          <w:szCs w:val="21"/>
        </w:rPr>
        <w:t xml:space="preserve">, achieving </w:t>
      </w:r>
      <w:r w:rsidR="00FE3030">
        <w:rPr>
          <w:rFonts w:eastAsia="Arial Unicode MS" w:cstheme="minorHAnsi"/>
          <w:color w:val="262626" w:themeColor="text1" w:themeTint="D9"/>
          <w:sz w:val="21"/>
          <w:szCs w:val="21"/>
        </w:rPr>
        <w:t>15% negotiated savings</w:t>
      </w:r>
      <w:r w:rsidR="004451E1" w:rsidRPr="004451E1">
        <w:rPr>
          <w:rFonts w:eastAsia="Arial Unicode MS" w:cstheme="minorHAnsi"/>
          <w:color w:val="262626" w:themeColor="text1" w:themeTint="D9"/>
          <w:sz w:val="21"/>
          <w:szCs w:val="21"/>
        </w:rPr>
        <w:t xml:space="preserve"> </w:t>
      </w:r>
    </w:p>
    <w:p w14:paraId="345E2A35" w14:textId="63F5FD4A" w:rsidR="004451E1" w:rsidRDefault="00661A57" w:rsidP="004451E1">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Supported techno-commercial analysis by evaluating project requirements and cost implications</w:t>
      </w:r>
      <w:r w:rsidR="00282C67">
        <w:rPr>
          <w:rFonts w:eastAsia="Arial Unicode MS" w:cstheme="minorHAnsi"/>
          <w:color w:val="262626" w:themeColor="text1" w:themeTint="D9"/>
          <w:sz w:val="21"/>
          <w:szCs w:val="21"/>
        </w:rPr>
        <w:t xml:space="preserve"> </w:t>
      </w:r>
    </w:p>
    <w:p w14:paraId="2987353F" w14:textId="79D4CD0D" w:rsidR="00661A57" w:rsidRPr="00661A57" w:rsidRDefault="00661A57" w:rsidP="00282C67">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Cut procuremen</w:t>
      </w:r>
      <w:r w:rsidR="00FE3030" w:rsidRPr="000845E8">
        <w:rPr>
          <w:rFonts w:eastAsia="Arial Unicode MS" w:cstheme="minorHAnsi"/>
          <w:color w:val="262626" w:themeColor="text1" w:themeTint="D9"/>
          <w:sz w:val="21"/>
          <w:szCs w:val="21"/>
        </w:rPr>
        <w:t>t turnaround time by 50% for major</w:t>
      </w:r>
      <w:r w:rsidRPr="000845E8">
        <w:rPr>
          <w:rFonts w:eastAsia="Arial Unicode MS" w:cstheme="minorHAnsi"/>
          <w:color w:val="262626" w:themeColor="text1" w:themeTint="D9"/>
          <w:sz w:val="21"/>
          <w:szCs w:val="21"/>
        </w:rPr>
        <w:t xml:space="preserve"> equipment through long-term </w:t>
      </w:r>
      <w:r w:rsidR="00FE3030" w:rsidRPr="000845E8">
        <w:rPr>
          <w:rFonts w:eastAsia="Arial Unicode MS" w:cstheme="minorHAnsi"/>
          <w:color w:val="262626" w:themeColor="text1" w:themeTint="D9"/>
          <w:sz w:val="21"/>
          <w:szCs w:val="21"/>
        </w:rPr>
        <w:t>agreements</w:t>
      </w:r>
    </w:p>
    <w:p w14:paraId="47F3E1B4" w14:textId="43127685" w:rsidR="004E7B27" w:rsidRDefault="00282C67"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Drafted various types of commercial contracts adhering to FIDIC language and standards</w:t>
      </w:r>
    </w:p>
    <w:p w14:paraId="072D5156" w14:textId="41B24EC5" w:rsidR="00022D6B" w:rsidRDefault="00661A57"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w:t>
      </w:r>
      <w:r w:rsidR="00FE3030">
        <w:rPr>
          <w:rFonts w:eastAsia="Arial Unicode MS" w:cstheme="minorHAnsi"/>
          <w:color w:val="262626" w:themeColor="text1" w:themeTint="D9"/>
          <w:sz w:val="21"/>
          <w:szCs w:val="21"/>
        </w:rPr>
        <w:t xml:space="preserve">proved the cash flow by securing 90 – 120 days payment terms </w:t>
      </w:r>
    </w:p>
    <w:p w14:paraId="6F9E410A" w14:textId="1802C1C7" w:rsidR="00FE3030" w:rsidRPr="00282C67" w:rsidRDefault="00FE3030"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$100,000 in revenue within two months by </w:t>
      </w:r>
      <w:r w:rsidR="00FE3030" w:rsidRPr="000845E8">
        <w:rPr>
          <w:rFonts w:eastAsia="Arial Unicode MS" w:cstheme="minorHAnsi"/>
          <w:color w:val="262626" w:themeColor="text1" w:themeTint="D9"/>
          <w:sz w:val="21"/>
          <w:szCs w:val="21"/>
        </w:rPr>
        <w:t>converting business leads to orders</w:t>
      </w:r>
    </w:p>
    <w:p w14:paraId="0815B769" w14:textId="0FBE9EA0" w:rsidR="00E13170" w:rsidRPr="002E05AA" w:rsidRDefault="003A1C35"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Setup tailored bid submission checklist to ensure 100% compliance to </w:t>
      </w:r>
      <w:r w:rsidR="0009331B">
        <w:rPr>
          <w:rFonts w:eastAsia="Arial Unicode MS" w:cstheme="minorHAnsi"/>
          <w:color w:val="262626" w:themeColor="text1" w:themeTint="D9"/>
          <w:sz w:val="21"/>
          <w:szCs w:val="21"/>
        </w:rPr>
        <w:t>customer focused</w:t>
      </w:r>
      <w:r>
        <w:rPr>
          <w:rFonts w:eastAsia="Arial Unicode MS" w:cstheme="minorHAnsi"/>
          <w:color w:val="262626" w:themeColor="text1" w:themeTint="D9"/>
          <w:sz w:val="21"/>
          <w:szCs w:val="21"/>
        </w:rPr>
        <w:t xml:space="preserve"> requirements</w:t>
      </w:r>
    </w:p>
    <w:p w14:paraId="4429E18E" w14:textId="3BF6A21D" w:rsidR="00E13170" w:rsidRPr="002E05AA"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5E414462" w14:textId="24777844" w:rsidR="003A1C35" w:rsidRDefault="003A1C35"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6AFD5655" w14:textId="164D809A" w:rsidR="004E7B27" w:rsidRPr="004E7B27" w:rsidRDefault="00FA47BF" w:rsidP="003A1C35">
      <w:pPr>
        <w:tabs>
          <w:tab w:val="right" w:pos="9360"/>
        </w:tabs>
        <w:spacing w:after="0"/>
        <w:contextualSpacing/>
        <w:jc w:val="both"/>
        <w:rPr>
          <w:rFonts w:ascii="Palatino Linotype" w:eastAsia="Cambria" w:hAnsi="Palatino Linotype" w:cstheme="minorHAnsi"/>
          <w:b/>
          <w:sz w:val="21"/>
          <w:szCs w:val="21"/>
        </w:rPr>
      </w:pPr>
      <w:r>
        <w:rPr>
          <w:rFonts w:eastAsia="Arial Unicode MS" w:cstheme="minorHAnsi"/>
          <w:noProof/>
          <w:color w:val="262626" w:themeColor="text1" w:themeTint="D9"/>
          <w:sz w:val="21"/>
          <w:szCs w:val="21"/>
        </w:rPr>
        <w:lastRenderedPageBreak/>
        <mc:AlternateContent>
          <mc:Choice Requires="wps">
            <w:drawing>
              <wp:anchor distT="0" distB="0" distL="114300" distR="114300" simplePos="0" relativeHeight="251672576" behindDoc="0" locked="0" layoutInCell="1" allowOverlap="1" wp14:anchorId="2540EB55" wp14:editId="051118FA">
                <wp:simplePos x="0" y="0"/>
                <wp:positionH relativeFrom="column">
                  <wp:posOffset>182880</wp:posOffset>
                </wp:positionH>
                <wp:positionV relativeFrom="paragraph">
                  <wp:posOffset>7093</wp:posOffset>
                </wp:positionV>
                <wp:extent cx="6461185" cy="569343"/>
                <wp:effectExtent l="0" t="0" r="0" b="2540"/>
                <wp:wrapNone/>
                <wp:docPr id="7" name="Text Box 7"/>
                <wp:cNvGraphicFramePr/>
                <a:graphic xmlns:a="http://schemas.openxmlformats.org/drawingml/2006/main">
                  <a:graphicData uri="http://schemas.microsoft.com/office/word/2010/wordprocessingShape">
                    <wps:wsp>
                      <wps:cNvSpPr txBox="1"/>
                      <wps:spPr>
                        <a:xfrm>
                          <a:off x="0" y="0"/>
                          <a:ext cx="6461185" cy="5693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EBE2B5" w14:textId="369850DC" w:rsidR="00FA47BF" w:rsidRPr="00FA47BF" w:rsidRDefault="00FA47BF">
                            <w:pPr>
                              <w:rPr>
                                <w:color w:val="FFFFFF" w:themeColor="background1"/>
                                <w:sz w:val="2"/>
                              </w:rPr>
                            </w:pPr>
                            <w:r w:rsidRPr="00FA47BF">
                              <w:rPr>
                                <w:color w:val="FFFFFF" w:themeColor="background1"/>
                                <w:sz w:val="2"/>
                              </w:rPr>
                              <w:t>Analyzed OPS performance and synthesized insights for management, standardizing project risk assessments</w:t>
                            </w:r>
                          </w:p>
                          <w:p w14:paraId="7BF7F52D" w14:textId="50F6C772" w:rsidR="00FA47BF" w:rsidRPr="00FA47BF" w:rsidRDefault="00FA47BF">
                            <w:pPr>
                              <w:rPr>
                                <w:color w:val="FFFFFF" w:themeColor="background1"/>
                                <w:sz w:val="2"/>
                              </w:rPr>
                            </w:pPr>
                            <w:r w:rsidRPr="00FA47BF">
                              <w:rPr>
                                <w:color w:val="FFFFFF" w:themeColor="background1"/>
                                <w:sz w:val="6"/>
                              </w:rPr>
                              <w:t>Supported HSE objectives by promoting a proactive safety culture and implementing the Sustainb’ALL and ONE MAESTRO programs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40EB55" id="_x0000_t202" coordsize="21600,21600" o:spt="202" path="m,l,21600r21600,l21600,xe">
                <v:stroke joinstyle="miter"/>
                <v:path gradientshapeok="t" o:connecttype="rect"/>
              </v:shapetype>
              <v:shape id="Text Box 7" o:spid="_x0000_s1026" type="#_x0000_t202" style="position:absolute;left:0;text-align:left;margin-left:14.4pt;margin-top:.55pt;width:508.75pt;height:44.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" filled="f" stroked="f" strokeweight=".5pt">
                <v:textbox>
                  <w:txbxContent>
                    <w:p w14:paraId="2DEBE2B5" w14:textId="369850DC" w:rsidR="00FA47BF" w:rsidRPr="00FA47BF" w:rsidRDefault="00FA47BF">
                      <w:pPr>
                        <w:rPr>
                          <w:color w:val="FFFFFF" w:themeColor="background1"/>
                          <w:sz w:val="2"/>
                        </w:rPr>
                      </w:pPr>
                      <w:r w:rsidRPr="00FA47BF">
                        <w:rPr>
                          <w:color w:val="FFFFFF" w:themeColor="background1"/>
                          <w:sz w:val="2"/>
                        </w:rPr>
                        <w:t>Analyzed OPS performance and synthesized insights for management, standardizing project risk assessments</w:t>
                      </w:r>
                    </w:p>
                    <w:p w14:paraId="7BF7F52D" w14:textId="50F6C772" w:rsidR="00FA47BF" w:rsidRPr="00FA47BF" w:rsidRDefault="00FA47BF">
                      <w:pPr>
                        <w:rPr>
                          <w:color w:val="FFFFFF" w:themeColor="background1"/>
                          <w:sz w:val="2"/>
                        </w:rPr>
                      </w:pPr>
                      <w:r w:rsidRPr="00FA47BF">
                        <w:rPr>
                          <w:color w:val="FFFFFF" w:themeColor="background1"/>
                          <w:sz w:val="6"/>
                        </w:rPr>
                        <w:t>Supported HSE objectives by promoting a proactive safety culture and implementing the Sustainb’ALL and ONE MAESTRO programs</w:t>
                      </w:r>
                    </w:p>
                  </w:txbxContent>
                </v:textbox>
              </v:shape>
            </w:pict>
          </mc:Fallback>
        </mc:AlternateContent>
      </w:r>
      <w:r w:rsidR="004E7B27">
        <w:rPr>
          <w:rFonts w:ascii="Palatino Linotype" w:eastAsia="Cambria" w:hAnsi="Palatino Linotype" w:cstheme="minorHAnsi"/>
          <w:b/>
          <w:sz w:val="21"/>
          <w:szCs w:val="21"/>
        </w:rPr>
        <w:t xml:space="preserve">Growth Trainee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International Renewable Energy Agency</w:t>
      </w:r>
      <w:r w:rsidR="004E7B27"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004E7B27"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6AFA01D1" w:rsidR="002E05AA" w:rsidRPr="00BC7CDB" w:rsidRDefault="004A5234"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08</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66B31827"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 electrical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698DC573" w14:textId="1AD8BAD4"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Prepared RFP tender package and issued to the market for tendering</w:t>
      </w:r>
    </w:p>
    <w:p w14:paraId="1F887A5B" w14:textId="2DDB053A"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Conducted pre-bid meetings to review the scope of work and ensure technical compliance</w:t>
      </w:r>
    </w:p>
    <w:p w14:paraId="4C6084FF" w14:textId="5293B7CD"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7E6068FB" w14:textId="11B10D02"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0DA2C960"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7FB131AE"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022D6B">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51A440" w14:textId="77777777" w:rsidR="00864F6A" w:rsidRDefault="00864F6A">
      <w:pPr>
        <w:spacing w:after="0" w:line="240" w:lineRule="auto"/>
      </w:pPr>
      <w:r>
        <w:separator/>
      </w:r>
    </w:p>
  </w:endnote>
  <w:endnote w:type="continuationSeparator" w:id="0">
    <w:p w14:paraId="662B1506" w14:textId="77777777" w:rsidR="00864F6A" w:rsidRDefault="00864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932E2A" w14:textId="77777777" w:rsidR="00864F6A" w:rsidRDefault="00864F6A">
      <w:pPr>
        <w:spacing w:after="0" w:line="240" w:lineRule="auto"/>
      </w:pPr>
      <w:r>
        <w:separator/>
      </w:r>
    </w:p>
  </w:footnote>
  <w:footnote w:type="continuationSeparator" w:id="0">
    <w:p w14:paraId="3F4FA580" w14:textId="77777777" w:rsidR="00864F6A" w:rsidRDefault="00864F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864F6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E1BD4"/>
    <w:rsid w:val="00121D91"/>
    <w:rsid w:val="00127847"/>
    <w:rsid w:val="00131CC8"/>
    <w:rsid w:val="001C548B"/>
    <w:rsid w:val="00206CE5"/>
    <w:rsid w:val="00217AE5"/>
    <w:rsid w:val="00235CE2"/>
    <w:rsid w:val="00282C67"/>
    <w:rsid w:val="002E05AA"/>
    <w:rsid w:val="00304D6C"/>
    <w:rsid w:val="00346052"/>
    <w:rsid w:val="003A1C35"/>
    <w:rsid w:val="003B7666"/>
    <w:rsid w:val="004451E1"/>
    <w:rsid w:val="004A5234"/>
    <w:rsid w:val="004D250C"/>
    <w:rsid w:val="004E7B27"/>
    <w:rsid w:val="00571ECE"/>
    <w:rsid w:val="00607012"/>
    <w:rsid w:val="00653E86"/>
    <w:rsid w:val="00661A57"/>
    <w:rsid w:val="006727EC"/>
    <w:rsid w:val="00721C10"/>
    <w:rsid w:val="007E4651"/>
    <w:rsid w:val="007F474B"/>
    <w:rsid w:val="00841005"/>
    <w:rsid w:val="00864F6A"/>
    <w:rsid w:val="0088228A"/>
    <w:rsid w:val="00931427"/>
    <w:rsid w:val="00966B5B"/>
    <w:rsid w:val="009679EB"/>
    <w:rsid w:val="009A35EF"/>
    <w:rsid w:val="00A4025C"/>
    <w:rsid w:val="00A51CB8"/>
    <w:rsid w:val="00A83C98"/>
    <w:rsid w:val="00AB79B5"/>
    <w:rsid w:val="00B463B2"/>
    <w:rsid w:val="00BC7CDB"/>
    <w:rsid w:val="00BE1404"/>
    <w:rsid w:val="00BF3AB9"/>
    <w:rsid w:val="00C7129A"/>
    <w:rsid w:val="00C7697F"/>
    <w:rsid w:val="00CE385A"/>
    <w:rsid w:val="00D122A9"/>
    <w:rsid w:val="00D20475"/>
    <w:rsid w:val="00D3770C"/>
    <w:rsid w:val="00D50428"/>
    <w:rsid w:val="00D50CD4"/>
    <w:rsid w:val="00D724F3"/>
    <w:rsid w:val="00DD05B0"/>
    <w:rsid w:val="00E13170"/>
    <w:rsid w:val="00E9494A"/>
    <w:rsid w:val="00F007FB"/>
    <w:rsid w:val="00F97A7F"/>
    <w:rsid w:val="00FA47BF"/>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5</cp:revision>
  <cp:lastPrinted>2024-08-14T17:41:00Z</cp:lastPrinted>
  <dcterms:created xsi:type="dcterms:W3CDTF">2024-08-14T17:39:00Z</dcterms:created>
  <dcterms:modified xsi:type="dcterms:W3CDTF">2024-08-14T18:00:00Z</dcterms:modified>
</cp:coreProperties>
</file>