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2C861AF0"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F753F3">
        <w:rPr>
          <w:rFonts w:eastAsia="Arial Unicode MS" w:cstheme="minorHAnsi"/>
          <w:color w:val="262626" w:themeColor="text1" w:themeTint="D9"/>
          <w:sz w:val="21"/>
          <w:szCs w:val="21"/>
        </w:rPr>
        <w:t>5</w:t>
      </w:r>
      <w:r w:rsidR="007F474B" w:rsidRPr="00E13170">
        <w:rPr>
          <w:rFonts w:eastAsia="Arial Unicode MS" w:cstheme="minorHAnsi"/>
          <w:color w:val="262626" w:themeColor="text1" w:themeTint="D9"/>
          <w:sz w:val="21"/>
          <w:szCs w:val="21"/>
        </w:rPr>
        <w:t>-</w:t>
      </w:r>
      <w:r w:rsidR="002448DB">
        <w:rPr>
          <w:rFonts w:eastAsia="Arial Unicode MS" w:cstheme="minorHAnsi"/>
          <w:color w:val="262626" w:themeColor="text1" w:themeTint="D9"/>
          <w:sz w:val="21"/>
          <w:szCs w:val="21"/>
        </w:rPr>
        <w:t xml:space="preserve">8000423 </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2BE441A3" w14:textId="71CE2F0C" w:rsidR="008F0792" w:rsidRDefault="00575ACE" w:rsidP="008F0792">
      <w:pPr>
        <w:tabs>
          <w:tab w:val="right" w:pos="9360"/>
        </w:tabs>
        <w:jc w:val="both"/>
        <w:rPr>
          <w:noProof/>
        </w:rPr>
      </w:pPr>
      <w:r w:rsidRPr="00D3770C">
        <w:rPr>
          <w:noProof/>
          <w:sz w:val="20"/>
          <w:szCs w:val="20"/>
        </w:rPr>
        <mc:AlternateContent>
          <mc:Choice Requires="wps">
            <w:drawing>
              <wp:anchor distT="0" distB="0" distL="114300" distR="114300" simplePos="0" relativeHeight="251672576" behindDoc="1" locked="0" layoutInCell="1" allowOverlap="1" wp14:anchorId="7FEDC8E3" wp14:editId="44919DF5">
                <wp:simplePos x="0" y="0"/>
                <wp:positionH relativeFrom="margin">
                  <wp:posOffset>-34290</wp:posOffset>
                </wp:positionH>
                <wp:positionV relativeFrom="page">
                  <wp:posOffset>3682365</wp:posOffset>
                </wp:positionV>
                <wp:extent cx="6309360" cy="0"/>
                <wp:effectExtent l="0" t="0" r="34290" b="19050"/>
                <wp:wrapTight wrapText="bothSides">
                  <wp:wrapPolygon edited="0">
                    <wp:start x="0" y="-1"/>
                    <wp:lineTo x="0" y="-1"/>
                    <wp:lineTo x="21652" y="-1"/>
                    <wp:lineTo x="21652" y="-1"/>
                    <wp:lineTo x="0" y="-1"/>
                  </wp:wrapPolygon>
                </wp:wrapTight>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6F24F0" id="Straight Connector 7" o:spid="_x0000_s1026" style="position:absolute;z-index:-25164390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2.7pt,289.95pt" to="494.1pt,2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" strokecolor="#272727 [2749]" strokeweight=".5pt">
                <v:stroke joinstyle="miter"/>
                <w10:wrap type="tight" anchorx="margin" anchory="page"/>
              </v:line>
            </w:pict>
          </mc:Fallback>
        </mc:AlternateContent>
      </w:r>
      <w:r w:rsidRPr="00575ACE">
        <w:rPr>
          <w:noProof/>
          <w:sz w:val="20"/>
          <w:szCs w:val="20"/>
        </w:rPr>
        <w:t>Dynamic Contracts and Commercial Management Specialist with over 6 years of experience supporting engineering, procurement, and construction (EPC) operations across the GCC. Proven ability to draft, review, negotiate, and administer complex contracts aligned with corporate and legal standards. Strong track record mitigating commercial and legal risks, optimizing supplier terms, and supporting compliance across multi-country frameworks. Adept at collaborating with cross-functional teams—including legal, finance, HSSE, and project management—to drive business value and ensure contractual integrity</w:t>
      </w:r>
      <w:r w:rsidR="006B74E8" w:rsidRPr="006B74E8">
        <w:rPr>
          <w:noProof/>
          <w:sz w:val="20"/>
          <w:szCs w:val="20"/>
        </w:rPr>
        <w:t>.</w:t>
      </w:r>
    </w:p>
    <w:p w14:paraId="38A8D8C5" w14:textId="2F873A23" w:rsidR="00E13170" w:rsidRPr="00D3770C" w:rsidRDefault="00D3770C" w:rsidP="00FF657D">
      <w:pPr>
        <w:tabs>
          <w:tab w:val="right" w:pos="9360"/>
        </w:tabs>
        <w:spacing w:before="360"/>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7BB9F559">
                <wp:simplePos x="0" y="0"/>
                <wp:positionH relativeFrom="margin">
                  <wp:posOffset>-34290</wp:posOffset>
                </wp:positionH>
                <wp:positionV relativeFrom="paragraph">
                  <wp:posOffset>378460</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09696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7pt,29.8pt" to="494.1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BD34594" w:rsidR="00E13170" w:rsidRPr="00022D6B" w:rsidRDefault="00E13170" w:rsidP="00FF657D">
      <w:pPr>
        <w:tabs>
          <w:tab w:val="right" w:pos="9360"/>
        </w:tabs>
        <w:rPr>
          <w:rFonts w:eastAsia="Cambria" w:cstheme="minorHAnsi"/>
          <w:sz w:val="10"/>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w:t>
      </w:r>
      <w:proofErr w:type="spellStart"/>
      <w:r w:rsidR="00D50CD4" w:rsidRPr="0088228A">
        <w:rPr>
          <w:rFonts w:ascii="Palatino Linotype" w:eastAsia="Cambria" w:hAnsi="Palatino Linotype" w:cstheme="minorHAnsi"/>
          <w:b/>
          <w:sz w:val="21"/>
          <w:szCs w:val="21"/>
        </w:rPr>
        <w:t>Tabreed</w:t>
      </w:r>
      <w:proofErr w:type="spellEnd"/>
      <w:r w:rsidR="00D50CD4"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2E60A50B" w:rsidR="00BF3AB9" w:rsidRPr="00BF3AB9" w:rsidRDefault="00575ACE" w:rsidP="00BF3AB9">
      <w:pPr>
        <w:tabs>
          <w:tab w:val="right" w:pos="9360"/>
        </w:tabs>
        <w:jc w:val="both"/>
        <w:rPr>
          <w:rFonts w:eastAsia="Arial Unicode MS" w:cstheme="minorHAnsi"/>
          <w:color w:val="262626" w:themeColor="text1" w:themeTint="D9"/>
          <w:sz w:val="21"/>
          <w:szCs w:val="21"/>
        </w:rPr>
      </w:pPr>
      <w:r w:rsidRPr="00575ACE">
        <w:rPr>
          <w:rFonts w:eastAsia="Arial Unicode MS" w:cstheme="minorHAnsi"/>
          <w:color w:val="262626" w:themeColor="text1" w:themeTint="D9"/>
          <w:sz w:val="21"/>
          <w:szCs w:val="21"/>
        </w:rPr>
        <w:t xml:space="preserve">Lead contract management and procurement activities for </w:t>
      </w:r>
      <w:r w:rsidRPr="00575ACE">
        <w:rPr>
          <w:rFonts w:eastAsia="Arial Unicode MS" w:cstheme="minorHAnsi"/>
          <w:b/>
          <w:color w:val="262626" w:themeColor="text1" w:themeTint="D9"/>
          <w:sz w:val="21"/>
          <w:szCs w:val="21"/>
        </w:rPr>
        <w:t>EPC District Cooling</w:t>
      </w:r>
      <w:r w:rsidRPr="00575ACE">
        <w:rPr>
          <w:rFonts w:eastAsia="Arial Unicode MS" w:cstheme="minorHAnsi"/>
          <w:color w:val="262626" w:themeColor="text1" w:themeTint="D9"/>
          <w:sz w:val="21"/>
          <w:szCs w:val="21"/>
        </w:rPr>
        <w:t xml:space="preserve"> projects across the GCC</w:t>
      </w:r>
      <w:bookmarkStart w:id="0" w:name="_GoBack"/>
      <w:bookmarkEnd w:id="0"/>
      <w:r w:rsidRPr="00575ACE">
        <w:rPr>
          <w:rFonts w:eastAsia="Arial Unicode MS" w:cstheme="minorHAnsi"/>
          <w:color w:val="262626" w:themeColor="text1" w:themeTint="D9"/>
          <w:sz w:val="21"/>
          <w:szCs w:val="21"/>
        </w:rPr>
        <w:t xml:space="preserve">. Responsible for </w:t>
      </w:r>
      <w:r w:rsidRPr="00575ACE">
        <w:rPr>
          <w:rFonts w:eastAsia="Arial Unicode MS" w:cstheme="minorHAnsi"/>
          <w:b/>
          <w:color w:val="262626" w:themeColor="text1" w:themeTint="D9"/>
          <w:sz w:val="21"/>
          <w:szCs w:val="21"/>
        </w:rPr>
        <w:t>reviewing, negotiating, and administering</w:t>
      </w:r>
      <w:r w:rsidRPr="00575ACE">
        <w:rPr>
          <w:rFonts w:eastAsia="Arial Unicode MS" w:cstheme="minorHAnsi"/>
          <w:color w:val="262626" w:themeColor="text1" w:themeTint="D9"/>
          <w:sz w:val="21"/>
          <w:szCs w:val="21"/>
        </w:rPr>
        <w:t xml:space="preserve"> supplier and subcontractor agreements to safeguard company interests and maximize commercial efficiency</w:t>
      </w:r>
      <w:r w:rsidR="00D724F3" w:rsidRPr="00D724F3">
        <w:rPr>
          <w:rFonts w:eastAsia="Arial Unicode MS" w:cstheme="minorHAnsi"/>
          <w:color w:val="262626" w:themeColor="text1" w:themeTint="D9"/>
          <w:sz w:val="21"/>
          <w:szCs w:val="21"/>
        </w:rPr>
        <w:t>.</w:t>
      </w:r>
    </w:p>
    <w:p w14:paraId="27189C4A" w14:textId="38E1A69C"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w:t>
      </w:r>
      <w:r w:rsidR="00407788">
        <w:rPr>
          <w:rFonts w:eastAsia="Arial Unicode MS" w:cstheme="minorHAnsi"/>
          <w:color w:val="262626" w:themeColor="text1" w:themeTint="D9"/>
          <w:sz w:val="21"/>
          <w:szCs w:val="21"/>
        </w:rPr>
        <w:t xml:space="preserve"> driving ITT processes till</w:t>
      </w:r>
      <w:r w:rsidRPr="009679EB">
        <w:rPr>
          <w:rFonts w:eastAsia="Arial Unicode MS" w:cstheme="minorHAnsi"/>
          <w:color w:val="262626" w:themeColor="text1" w:themeTint="D9"/>
          <w:sz w:val="21"/>
          <w:szCs w:val="21"/>
        </w:rPr>
        <w:t xml:space="preserve"> contract establishment</w:t>
      </w:r>
    </w:p>
    <w:p w14:paraId="670ADC13" w14:textId="05DBEEED"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w:t>
      </w:r>
      <w:r w:rsidRPr="00407788">
        <w:rPr>
          <w:rFonts w:eastAsia="Arial Unicode MS" w:cstheme="minorHAnsi"/>
          <w:b/>
          <w:color w:val="262626" w:themeColor="text1" w:themeTint="D9"/>
          <w:sz w:val="21"/>
          <w:szCs w:val="21"/>
        </w:rPr>
        <w:t>15%</w:t>
      </w:r>
      <w:r w:rsidRPr="009D38AF">
        <w:rPr>
          <w:rFonts w:eastAsia="Arial Unicode MS" w:cstheme="minorHAnsi"/>
          <w:color w:val="262626" w:themeColor="text1" w:themeTint="D9"/>
          <w:sz w:val="21"/>
          <w:szCs w:val="21"/>
        </w:rPr>
        <w:t xml:space="preserve"> cost </w:t>
      </w:r>
      <w:r>
        <w:rPr>
          <w:rFonts w:eastAsia="Arial Unicode MS" w:cstheme="minorHAnsi"/>
          <w:color w:val="262626" w:themeColor="text1" w:themeTint="D9"/>
          <w:sz w:val="21"/>
          <w:szCs w:val="21"/>
        </w:rPr>
        <w:t>savings</w:t>
      </w:r>
    </w:p>
    <w:p w14:paraId="345E2A35" w14:textId="26A9BD50" w:rsidR="004451E1" w:rsidRPr="009D38AF"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Supported techno-commercial analysis by evaluating project requirements and cost implications</w:t>
      </w:r>
      <w:r w:rsidR="00282C67" w:rsidRPr="009D38AF">
        <w:rPr>
          <w:rFonts w:eastAsia="Arial Unicode MS" w:cstheme="minorHAnsi"/>
          <w:color w:val="262626" w:themeColor="text1" w:themeTint="D9"/>
          <w:sz w:val="21"/>
          <w:szCs w:val="21"/>
        </w:rPr>
        <w:t xml:space="preserve"> </w:t>
      </w:r>
    </w:p>
    <w:p w14:paraId="0CDE85A1" w14:textId="705195C5"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 xml:space="preserve">Built long-term framework agreements with key OEMs, cutting sourcing cycle times by </w:t>
      </w:r>
      <w:r w:rsidR="00407788">
        <w:rPr>
          <w:rFonts w:eastAsia="Arial Unicode MS" w:cstheme="minorHAnsi"/>
          <w:b/>
          <w:color w:val="262626" w:themeColor="text1" w:themeTint="D9"/>
          <w:sz w:val="21"/>
          <w:szCs w:val="21"/>
        </w:rPr>
        <w:t>50%</w:t>
      </w:r>
    </w:p>
    <w:p w14:paraId="09B592B8" w14:textId="0B19A6C1" w:rsidR="00407788" w:rsidRDefault="00407788" w:rsidP="00407788">
      <w:pPr>
        <w:numPr>
          <w:ilvl w:val="0"/>
          <w:numId w:val="5"/>
        </w:numPr>
        <w:tabs>
          <w:tab w:val="right" w:pos="9360"/>
        </w:tabs>
        <w:spacing w:after="0"/>
        <w:contextualSpacing/>
        <w:rPr>
          <w:rFonts w:eastAsia="Arial Unicode MS" w:cstheme="minorHAnsi"/>
          <w:color w:val="262626" w:themeColor="text1" w:themeTint="D9"/>
          <w:sz w:val="21"/>
          <w:szCs w:val="21"/>
        </w:rPr>
      </w:pPr>
      <w:r w:rsidRPr="00407788">
        <w:rPr>
          <w:rFonts w:eastAsia="Arial Unicode MS" w:cstheme="minorHAnsi"/>
          <w:color w:val="262626" w:themeColor="text1" w:themeTint="D9"/>
          <w:sz w:val="21"/>
          <w:szCs w:val="21"/>
        </w:rPr>
        <w:t>Administered variations, and warranty terms, ensuring timely recovery of remedies and financial benefits</w:t>
      </w:r>
    </w:p>
    <w:p w14:paraId="2287B4DD" w14:textId="09982F71" w:rsidR="00575ACE" w:rsidRDefault="00575ACE" w:rsidP="00575ACE">
      <w:pPr>
        <w:numPr>
          <w:ilvl w:val="0"/>
          <w:numId w:val="5"/>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Liaised with cross functional stakeholders to</w:t>
      </w:r>
      <w:r w:rsidRPr="00575ACE">
        <w:rPr>
          <w:rFonts w:eastAsia="Arial Unicode MS" w:cstheme="minorHAnsi"/>
          <w:color w:val="262626" w:themeColor="text1" w:themeTint="D9"/>
          <w:sz w:val="21"/>
          <w:szCs w:val="21"/>
        </w:rPr>
        <w:t xml:space="preserve"> </w:t>
      </w:r>
      <w:r w:rsidRPr="00575ACE">
        <w:rPr>
          <w:rFonts w:eastAsia="Arial Unicode MS" w:cstheme="minorHAnsi"/>
          <w:b/>
          <w:color w:val="262626" w:themeColor="text1" w:themeTint="D9"/>
          <w:sz w:val="21"/>
          <w:szCs w:val="21"/>
        </w:rPr>
        <w:t>administer contracts</w:t>
      </w:r>
      <w:r w:rsidRPr="00575ACE">
        <w:rPr>
          <w:rFonts w:eastAsia="Arial Unicode MS" w:cstheme="minorHAnsi"/>
          <w:color w:val="262626" w:themeColor="text1" w:themeTint="D9"/>
          <w:sz w:val="21"/>
          <w:szCs w:val="21"/>
        </w:rPr>
        <w:t xml:space="preserve">, ensuring adherence to </w:t>
      </w:r>
      <w:r>
        <w:rPr>
          <w:rFonts w:eastAsia="Arial Unicode MS" w:cstheme="minorHAnsi"/>
          <w:color w:val="262626" w:themeColor="text1" w:themeTint="D9"/>
          <w:sz w:val="21"/>
          <w:szCs w:val="21"/>
        </w:rPr>
        <w:t>contract terms</w:t>
      </w:r>
    </w:p>
    <w:p w14:paraId="0C598375" w14:textId="4B323C6E" w:rsidR="00407788" w:rsidRDefault="00575ACE" w:rsidP="00575ACE">
      <w:pPr>
        <w:numPr>
          <w:ilvl w:val="0"/>
          <w:numId w:val="5"/>
        </w:numPr>
        <w:tabs>
          <w:tab w:val="right" w:pos="9360"/>
        </w:tabs>
        <w:spacing w:after="0"/>
        <w:contextualSpacing/>
        <w:jc w:val="both"/>
        <w:rPr>
          <w:rFonts w:eastAsia="Arial Unicode MS" w:cstheme="minorHAnsi"/>
          <w:color w:val="262626" w:themeColor="text1" w:themeTint="D9"/>
          <w:sz w:val="21"/>
          <w:szCs w:val="21"/>
        </w:rPr>
      </w:pPr>
      <w:r w:rsidRPr="00575ACE">
        <w:rPr>
          <w:rFonts w:eastAsia="Arial Unicode MS" w:cstheme="minorHAnsi"/>
          <w:color w:val="262626" w:themeColor="text1" w:themeTint="D9"/>
          <w:sz w:val="21"/>
          <w:szCs w:val="21"/>
        </w:rPr>
        <w:t xml:space="preserve">Led the digitalization of contract workflows in SAP, reducing approval cycle times by </w:t>
      </w:r>
      <w:r w:rsidRPr="00575ACE">
        <w:rPr>
          <w:rFonts w:eastAsia="Arial Unicode MS" w:cstheme="minorHAnsi"/>
          <w:b/>
          <w:color w:val="262626" w:themeColor="text1" w:themeTint="D9"/>
          <w:sz w:val="21"/>
          <w:szCs w:val="21"/>
        </w:rPr>
        <w:t>30%</w:t>
      </w:r>
    </w:p>
    <w:p w14:paraId="453C42DF" w14:textId="77777777" w:rsidR="00575ACE" w:rsidRPr="00575ACE" w:rsidRDefault="00575ACE" w:rsidP="00575ACE">
      <w:pPr>
        <w:tabs>
          <w:tab w:val="right" w:pos="9360"/>
        </w:tabs>
        <w:spacing w:after="0"/>
        <w:ind w:left="720"/>
        <w:contextualSpacing/>
        <w:jc w:val="both"/>
        <w:rPr>
          <w:rFonts w:eastAsia="Arial Unicode MS" w:cstheme="minorHAnsi"/>
          <w:color w:val="262626" w:themeColor="text1" w:themeTint="D9"/>
          <w:sz w:val="21"/>
          <w:szCs w:val="21"/>
        </w:rPr>
      </w:pPr>
    </w:p>
    <w:p w14:paraId="161D24C4" w14:textId="5A466BF8"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2448DB">
        <w:rPr>
          <w:rFonts w:ascii="Palatino Linotype" w:eastAsia="Cambria" w:hAnsi="Palatino Linotype" w:cstheme="minorHAnsi"/>
          <w:b/>
          <w:sz w:val="21"/>
          <w:szCs w:val="21"/>
        </w:rPr>
        <w:t>Florence Fiber Glass</w:t>
      </w:r>
      <w:r w:rsidR="002E05AA" w:rsidRPr="00DD05B0">
        <w:rPr>
          <w:rFonts w:ascii="Palatino Linotype" w:eastAsia="Cambria" w:hAnsi="Palatino Linotype" w:cstheme="minorHAnsi"/>
          <w:b/>
          <w:sz w:val="21"/>
          <w:szCs w:val="21"/>
        </w:rPr>
        <w:t xml:space="preserve"> •</w:t>
      </w:r>
      <w:r w:rsidR="002448DB">
        <w:rPr>
          <w:rFonts w:ascii="Palatino Linotype" w:eastAsia="Cambria" w:hAnsi="Palatino Linotype" w:cstheme="minorHAnsi"/>
          <w:b/>
          <w:sz w:val="21"/>
          <w:szCs w:val="21"/>
        </w:rPr>
        <w:t xml:space="preserve"> Ajman</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w:t>
      </w:r>
      <w:r w:rsidRPr="00407788">
        <w:rPr>
          <w:rFonts w:eastAsia="Arial Unicode MS" w:cstheme="minorHAnsi"/>
          <w:b/>
          <w:color w:val="262626" w:themeColor="text1" w:themeTint="D9"/>
          <w:sz w:val="21"/>
          <w:szCs w:val="21"/>
        </w:rPr>
        <w:t>$100,000</w:t>
      </w:r>
      <w:r w:rsidRPr="000845E8">
        <w:rPr>
          <w:rFonts w:eastAsia="Arial Unicode MS" w:cstheme="minorHAnsi"/>
          <w:color w:val="262626" w:themeColor="text1" w:themeTint="D9"/>
          <w:sz w:val="21"/>
          <w:szCs w:val="21"/>
        </w:rPr>
        <w:t xml:space="preserve">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sidRPr="00407788">
        <w:rPr>
          <w:rFonts w:eastAsia="Arial Unicode MS" w:cstheme="minorHAnsi"/>
          <w:b/>
          <w:color w:val="262626" w:themeColor="text1" w:themeTint="D9"/>
          <w:sz w:val="21"/>
          <w:szCs w:val="21"/>
        </w:rPr>
        <w:t>10%</w:t>
      </w:r>
      <w:r w:rsidR="003A1C35">
        <w:rPr>
          <w:rFonts w:eastAsia="Arial Unicode MS" w:cstheme="minorHAnsi"/>
          <w:color w:val="262626" w:themeColor="text1" w:themeTint="D9"/>
          <w:sz w:val="21"/>
          <w:szCs w:val="21"/>
        </w:rPr>
        <w:t xml:space="preserve">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w:t>
      </w:r>
      <w:r w:rsidRPr="00407788">
        <w:rPr>
          <w:rFonts w:eastAsia="Arial Unicode MS" w:cstheme="minorHAnsi"/>
          <w:b/>
          <w:color w:val="262626" w:themeColor="text1" w:themeTint="D9"/>
          <w:sz w:val="21"/>
          <w:szCs w:val="21"/>
        </w:rPr>
        <w:t>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4D41CFE3" w14:textId="00CAAF03" w:rsidR="009D38AF" w:rsidRPr="00FF657D" w:rsidRDefault="003A1C35" w:rsidP="00FF657D">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47228D14" w:rsidR="00D20475"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Contract Drafting (FIDIC)</w:t>
      </w:r>
    </w:p>
    <w:p w14:paraId="138B0B10" w14:textId="5C2E90CF" w:rsidR="008F0792"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Cost Estimation</w:t>
      </w:r>
    </w:p>
    <w:p w14:paraId="4B4E4553" w14:textId="07CEE3B7" w:rsidR="008F0792" w:rsidRPr="00C7697F"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Budgeting</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49EDF676"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407788">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0AC324" w14:textId="77777777" w:rsidR="0013640F" w:rsidRDefault="0013640F">
      <w:pPr>
        <w:spacing w:after="0" w:line="240" w:lineRule="auto"/>
      </w:pPr>
      <w:r>
        <w:separator/>
      </w:r>
    </w:p>
  </w:endnote>
  <w:endnote w:type="continuationSeparator" w:id="0">
    <w:p w14:paraId="2AFC31BF" w14:textId="77777777" w:rsidR="0013640F" w:rsidRDefault="00136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EB1F65" w14:textId="77777777" w:rsidR="0013640F" w:rsidRDefault="0013640F">
      <w:pPr>
        <w:spacing w:after="0" w:line="240" w:lineRule="auto"/>
      </w:pPr>
      <w:r>
        <w:separator/>
      </w:r>
    </w:p>
  </w:footnote>
  <w:footnote w:type="continuationSeparator" w:id="0">
    <w:p w14:paraId="6F486700" w14:textId="77777777" w:rsidR="0013640F" w:rsidRDefault="001364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13640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121D91"/>
    <w:rsid w:val="00127847"/>
    <w:rsid w:val="00131CC8"/>
    <w:rsid w:val="0013640F"/>
    <w:rsid w:val="001625AB"/>
    <w:rsid w:val="00194C23"/>
    <w:rsid w:val="001C548B"/>
    <w:rsid w:val="00206CE5"/>
    <w:rsid w:val="00217AE5"/>
    <w:rsid w:val="00235CE2"/>
    <w:rsid w:val="002448DB"/>
    <w:rsid w:val="00282C67"/>
    <w:rsid w:val="00284D24"/>
    <w:rsid w:val="002E05AA"/>
    <w:rsid w:val="00304D6C"/>
    <w:rsid w:val="00346052"/>
    <w:rsid w:val="003844CE"/>
    <w:rsid w:val="003A1C35"/>
    <w:rsid w:val="003B3E38"/>
    <w:rsid w:val="003B7666"/>
    <w:rsid w:val="003E3F42"/>
    <w:rsid w:val="003F4307"/>
    <w:rsid w:val="00407788"/>
    <w:rsid w:val="004451E1"/>
    <w:rsid w:val="00495D10"/>
    <w:rsid w:val="004A5234"/>
    <w:rsid w:val="004B0E23"/>
    <w:rsid w:val="004D250C"/>
    <w:rsid w:val="004D77B3"/>
    <w:rsid w:val="004E7B27"/>
    <w:rsid w:val="00571ECE"/>
    <w:rsid w:val="00575ACE"/>
    <w:rsid w:val="00607012"/>
    <w:rsid w:val="00653E86"/>
    <w:rsid w:val="00661A57"/>
    <w:rsid w:val="006727EC"/>
    <w:rsid w:val="006B74E8"/>
    <w:rsid w:val="00721C10"/>
    <w:rsid w:val="007E4651"/>
    <w:rsid w:val="007F36D7"/>
    <w:rsid w:val="007F474B"/>
    <w:rsid w:val="00841005"/>
    <w:rsid w:val="00864F6A"/>
    <w:rsid w:val="0088228A"/>
    <w:rsid w:val="008D2AF9"/>
    <w:rsid w:val="008F0792"/>
    <w:rsid w:val="00931427"/>
    <w:rsid w:val="00966B5B"/>
    <w:rsid w:val="009679EB"/>
    <w:rsid w:val="009A35EF"/>
    <w:rsid w:val="009D38AF"/>
    <w:rsid w:val="00A4025C"/>
    <w:rsid w:val="00A51CB8"/>
    <w:rsid w:val="00A83C98"/>
    <w:rsid w:val="00A925A3"/>
    <w:rsid w:val="00AB79B5"/>
    <w:rsid w:val="00B32B3E"/>
    <w:rsid w:val="00B463B2"/>
    <w:rsid w:val="00BC3C2D"/>
    <w:rsid w:val="00BC7CDB"/>
    <w:rsid w:val="00BD17C4"/>
    <w:rsid w:val="00BE1404"/>
    <w:rsid w:val="00BF3AB9"/>
    <w:rsid w:val="00BF4019"/>
    <w:rsid w:val="00C07E12"/>
    <w:rsid w:val="00C7129A"/>
    <w:rsid w:val="00C7697F"/>
    <w:rsid w:val="00CE385A"/>
    <w:rsid w:val="00D122A9"/>
    <w:rsid w:val="00D20475"/>
    <w:rsid w:val="00D3770C"/>
    <w:rsid w:val="00D50428"/>
    <w:rsid w:val="00D50CD4"/>
    <w:rsid w:val="00D724F3"/>
    <w:rsid w:val="00DA53C4"/>
    <w:rsid w:val="00DD05B0"/>
    <w:rsid w:val="00E13170"/>
    <w:rsid w:val="00E9494A"/>
    <w:rsid w:val="00F007FB"/>
    <w:rsid w:val="00F43C50"/>
    <w:rsid w:val="00F753F3"/>
    <w:rsid w:val="00F97A7F"/>
    <w:rsid w:val="00FA47BF"/>
    <w:rsid w:val="00FE3030"/>
    <w:rsid w:val="00FF6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1392</TotalTime>
  <Pages>2</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15</cp:revision>
  <cp:lastPrinted>2025-10-08T13:52:00Z</cp:lastPrinted>
  <dcterms:created xsi:type="dcterms:W3CDTF">2024-09-28T06:43:00Z</dcterms:created>
  <dcterms:modified xsi:type="dcterms:W3CDTF">2025-10-17T07:19:00Z</dcterms:modified>
</cp:coreProperties>
</file>