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Coinnect Lean Canvas</w:t>
      </w:r>
    </w:p>
    <w:p>
      <w:pPr>
        <w:spacing w:after="100"/>
      </w:pPr>
      <w:r>
        <w:t>SmartTech  |  Proposed UM Tagum campus pilot  |  Partial physical prototype</w:t>
      </w:r>
    </w:p>
    <w:p>
      <w:r>
        <w:rPr>
          <w:color w:val="C2410C"/>
          <w:sz w:val="18"/>
        </w:rPr>
        <w:t>Working business hypotheses. Demand, pricing, and competitive advantages require validation.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1D5DB"/>
          <w:left w:val="single" w:sz="5" w:color="D1D5DB"/>
          <w:bottom w:val="single" w:sz="5" w:color="D1D5DB"/>
          <w:right w:val="single" w:sz="5" w:color="D1D5DB"/>
          <w:insideH w:val="single" w:sz="5" w:color="D1D5DB"/>
          <w:insideV w:val="single" w:sz="5" w:color="D1D5DB"/>
        </w:tblBorders>
      </w:tblPr>
      <w:tblGrid>
        <w:gridCol w:w="1539"/>
        <w:gridCol w:w="1539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>
        <w:trPr>
          <w:cantSplit/>
        </w:trPr>
        <w:tc>
          <w:tcPr>
            <w:tcW w:type="dxa" w:w="3078"/>
            <w:gridSpan w:val="2"/>
            <w:vMerge w:val="restart"/>
            <w:vAlign w:val="top"/>
            <w:tcMar>
              <w:top w:w="115" w:type="dxa"/>
              <w:left w:w="115" w:type="dxa"/>
              <w:bottom w:w="115" w:type="dxa"/>
              <w:right w:w="115" w:type="dxa"/>
            </w:tcMar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  <w:shd w:fill="FFFFFF"/>
          </w:tcPr>
          <w:p>
            <w:pPr>
              <w:spacing w:after="140"/>
            </w:pPr>
            <w:r>
              <w:rPr>
                <w:b/>
                <w:color w:val="C2410C"/>
                <w:sz w:val="22"/>
              </w:rPr>
              <w:t>Problem</w:t>
            </w:r>
          </w:p>
          <w:p>
            <w:pPr>
              <w:spacing w:after="120" w:line="250" w:lineRule="auto"/>
            </w:pPr>
            <w:r>
              <w:rPr>
                <w:sz w:val="19"/>
              </w:rPr>
              <w:t>Cash denominations may not match small payment needs.</w:t>
            </w:r>
          </w:p>
          <w:p>
            <w:pPr>
              <w:spacing w:after="120" w:line="250" w:lineRule="auto"/>
            </w:pPr>
            <w:r>
              <w:rPr>
                <w:sz w:val="19"/>
              </w:rPr>
              <w:t>Cash holders may need wallet funds, or wallet users may need cash.</w:t>
            </w:r>
          </w:p>
          <w:p>
            <w:pPr>
              <w:spacing w:after="120" w:line="250" w:lineRule="auto"/>
            </w:pPr>
            <w:r>
              <w:rPr>
                <w:sz w:val="19"/>
              </w:rPr>
              <w:t>Alternatives to validate: cashiers, acquaintances, and available service outlets. Frequency and inconvenience are unmeasured.</w:t>
            </w:r>
          </w:p>
        </w:tc>
        <w:tc>
          <w:tcPr>
            <w:tcW w:type="dxa" w:w="3078"/>
            <w:gridSpan w:val="2"/>
            <w:vAlign w:val="top"/>
            <w:tcMar>
              <w:top w:w="115" w:type="dxa"/>
              <w:left w:w="115" w:type="dxa"/>
              <w:bottom w:w="115" w:type="dxa"/>
              <w:right w:w="115" w:type="dxa"/>
            </w:tcMar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  <w:shd w:fill="FFFFFF"/>
          </w:tcPr>
          <w:p>
            <w:pPr>
              <w:spacing w:after="140"/>
            </w:pPr>
            <w:r>
              <w:rPr>
                <w:b/>
                <w:color w:val="C2410C"/>
                <w:sz w:val="22"/>
              </w:rPr>
              <w:t>Solution</w:t>
            </w:r>
          </w:p>
          <w:p>
            <w:pPr>
              <w:spacing w:after="120" w:line="250" w:lineRule="auto"/>
            </w:pPr>
            <w:r>
              <w:rPr>
                <w:sz w:val="19"/>
              </w:rPr>
              <w:t>One touchscreen kiosk for PHP bill and coin conversion.</w:t>
            </w:r>
          </w:p>
          <w:p>
            <w:pPr>
              <w:spacing w:after="120" w:line="250" w:lineRule="auto"/>
            </w:pPr>
            <w:r>
              <w:rPr>
                <w:sz w:val="19"/>
              </w:rPr>
              <w:t>Wallet access after integration and operating readiness.</w:t>
            </w:r>
          </w:p>
          <w:p>
            <w:pPr>
              <w:spacing w:after="120" w:line="250" w:lineRule="auto"/>
            </w:pPr>
            <w:r>
              <w:rPr>
                <w:sz w:val="19"/>
              </w:rPr>
              <w:t>Transaction records and a claim process for unresolved payouts.</w:t>
            </w:r>
          </w:p>
        </w:tc>
        <w:tc>
          <w:tcPr>
            <w:tcW w:type="dxa" w:w="3078"/>
            <w:gridSpan w:val="2"/>
            <w:vMerge w:val="restart"/>
            <w:vAlign w:val="top"/>
            <w:tcMar>
              <w:top w:w="115" w:type="dxa"/>
              <w:left w:w="115" w:type="dxa"/>
              <w:bottom w:w="115" w:type="dxa"/>
              <w:right w:w="115" w:type="dxa"/>
            </w:tcMar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  <w:shd w:fill="FFF7ED"/>
          </w:tcPr>
          <w:p>
            <w:pPr>
              <w:spacing w:after="140"/>
            </w:pPr>
            <w:r>
              <w:rPr>
                <w:b/>
                <w:color w:val="C2410C"/>
                <w:sz w:val="22"/>
              </w:rPr>
              <w:t>Unique Value Proposition</w:t>
            </w:r>
          </w:p>
          <w:p>
            <w:pPr>
              <w:spacing w:after="120" w:line="250" w:lineRule="auto"/>
            </w:pPr>
            <w:r>
              <w:rPr>
                <w:sz w:val="19"/>
              </w:rPr>
              <w:t>Convenient campus access to suitable cash denominations and wallet services through one kiosk.</w:t>
            </w:r>
          </w:p>
          <w:p>
            <w:pPr>
              <w:spacing w:after="120" w:line="250" w:lineRule="auto"/>
            </w:pPr>
            <w:r>
              <w:rPr>
                <w:sz w:val="19"/>
              </w:rPr>
              <w:t>Cash conversion designed for offline operation.</w:t>
            </w:r>
          </w:p>
          <w:p>
            <w:pPr>
              <w:spacing w:after="120" w:line="250" w:lineRule="auto"/>
            </w:pPr>
            <w:r>
              <w:rPr>
                <w:sz w:val="19"/>
              </w:rPr>
              <w:t>Hypothesis: proximity and combined services justify a transparent fee. Test against existing alternatives.</w:t>
            </w:r>
          </w:p>
        </w:tc>
        <w:tc>
          <w:tcPr>
            <w:tcW w:type="dxa" w:w="3078"/>
            <w:gridSpan w:val="2"/>
            <w:vAlign w:val="top"/>
            <w:tcMar>
              <w:top w:w="115" w:type="dxa"/>
              <w:left w:w="115" w:type="dxa"/>
              <w:bottom w:w="115" w:type="dxa"/>
              <w:right w:w="115" w:type="dxa"/>
            </w:tcMar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  <w:shd w:fill="FFFFFF"/>
          </w:tcPr>
          <w:p>
            <w:pPr>
              <w:spacing w:after="140"/>
            </w:pPr>
            <w:r>
              <w:rPr>
                <w:b/>
                <w:color w:val="C2410C"/>
                <w:sz w:val="22"/>
              </w:rPr>
              <w:t>Unfair Advantage</w:t>
            </w:r>
          </w:p>
          <w:p>
            <w:pPr>
              <w:spacing w:after="120" w:line="250" w:lineRule="auto"/>
            </w:pPr>
            <w:r>
              <w:rPr>
                <w:sz w:val="19"/>
              </w:rPr>
              <w:t>No proven unfair advantage yet.</w:t>
            </w:r>
          </w:p>
          <w:p>
            <w:pPr>
              <w:spacing w:after="120" w:line="250" w:lineRule="auto"/>
            </w:pPr>
            <w:r>
              <w:rPr>
                <w:sz w:val="19"/>
              </w:rPr>
              <w:t>Potential advantage to build: reliable campus operations, user insight, and maintainable integrated hardware. These are not exclusive assets.</w:t>
            </w:r>
          </w:p>
        </w:tc>
        <w:tc>
          <w:tcPr>
            <w:tcW w:type="dxa" w:w="3078"/>
            <w:gridSpan w:val="2"/>
            <w:vMerge w:val="restart"/>
            <w:vAlign w:val="top"/>
            <w:tcMar>
              <w:top w:w="115" w:type="dxa"/>
              <w:left w:w="115" w:type="dxa"/>
              <w:bottom w:w="115" w:type="dxa"/>
              <w:right w:w="115" w:type="dxa"/>
            </w:tcMar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  <w:shd w:fill="FFFFFF"/>
          </w:tcPr>
          <w:p>
            <w:pPr>
              <w:spacing w:after="140"/>
            </w:pPr>
            <w:r>
              <w:rPr>
                <w:b/>
                <w:color w:val="C2410C"/>
                <w:sz w:val="22"/>
              </w:rPr>
              <w:t>Customer Segments</w:t>
            </w:r>
          </w:p>
          <w:p>
            <w:pPr>
              <w:spacing w:after="120" w:line="250" w:lineRule="auto"/>
            </w:pPr>
            <w:r>
              <w:rPr>
                <w:sz w:val="19"/>
              </w:rPr>
              <w:t>Initial users and fee customers: UM Tagum students and staff with recurring cash or wallet needs.</w:t>
            </w:r>
          </w:p>
          <w:p>
            <w:pPr>
              <w:spacing w:after="120" w:line="250" w:lineRule="auto"/>
            </w:pPr>
            <w:r>
              <w:rPr>
                <w:sz w:val="19"/>
              </w:rPr>
              <w:t>Early adopters: users who report repeated inconvenience and accept a fee.</w:t>
            </w:r>
          </w:p>
          <w:p>
            <w:pPr>
              <w:spacing w:after="120" w:line="250" w:lineRule="auto"/>
            </w:pPr>
            <w:r>
              <w:rPr>
                <w:sz w:val="19"/>
              </w:rPr>
              <w:t>Proposed host: campus administration.</w:t>
            </w:r>
          </w:p>
          <w:p>
            <w:pPr>
              <w:spacing w:after="120" w:line="250" w:lineRule="auto"/>
            </w:pPr>
            <w:r>
              <w:rPr>
                <w:sz w:val="19"/>
              </w:rPr>
              <w:t>Secondary beneficiaries: nearby merchants.</w:t>
            </w:r>
          </w:p>
        </w:tc>
      </w:tr>
      <w:tr>
        <w:trPr>
          <w:cantSplit/>
        </w:trPr>
        <w:tc>
          <w:tcPr>
            <w:tcW w:type="dxa" w:w="3078"/>
            <w:gridSpan w:val="2"/>
            <w:vMerge/>
          </w:tcPr>
          <w:p/>
        </w:tc>
        <w:tc>
          <w:tcPr>
            <w:tcW w:type="dxa" w:w="3078"/>
            <w:gridSpan w:val="2"/>
            <w:vAlign w:val="top"/>
            <w:tcMar>
              <w:top w:w="115" w:type="dxa"/>
              <w:left w:w="115" w:type="dxa"/>
              <w:bottom w:w="115" w:type="dxa"/>
              <w:right w:w="115" w:type="dxa"/>
            </w:tcMar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  <w:shd w:fill="FFFFFF"/>
          </w:tcPr>
          <w:p>
            <w:pPr>
              <w:spacing w:after="140"/>
            </w:pPr>
            <w:r>
              <w:rPr>
                <w:b/>
                <w:color w:val="C2410C"/>
                <w:sz w:val="22"/>
              </w:rPr>
              <w:t>Key Metrics</w:t>
            </w:r>
          </w:p>
          <w:p>
            <w:pPr>
              <w:spacing w:after="120" w:line="250" w:lineRule="auto"/>
            </w:pPr>
            <w:r>
              <w:rPr>
                <w:sz w:val="19"/>
              </w:rPr>
              <w:t>Completed and repeat transactions.</w:t>
            </w:r>
          </w:p>
          <w:p>
            <w:pPr>
              <w:spacing w:after="120" w:line="250" w:lineRule="auto"/>
            </w:pPr>
            <w:r>
              <w:rPr>
                <w:sz w:val="19"/>
              </w:rPr>
              <w:t>Completion time and inventory shortages.</w:t>
            </w:r>
          </w:p>
          <w:p>
            <w:pPr>
              <w:spacing w:after="120" w:line="250" w:lineRule="auto"/>
            </w:pPr>
            <w:r>
              <w:rPr>
                <w:sz w:val="19"/>
              </w:rPr>
              <w:t>Support requests and unresolved claims.</w:t>
            </w:r>
          </w:p>
          <w:p>
            <w:pPr>
              <w:spacing w:after="120" w:line="250" w:lineRule="auto"/>
            </w:pPr>
            <w:r>
              <w:rPr>
                <w:sz w:val="19"/>
              </w:rPr>
              <w:t>Fee contribution and user-reported time or cost change.</w:t>
            </w:r>
          </w:p>
        </w:tc>
        <w:tc>
          <w:tcPr>
            <w:tcW w:type="dxa" w:w="3078"/>
            <w:gridSpan w:val="2"/>
            <w:vMerge/>
          </w:tcPr>
          <w:p/>
        </w:tc>
        <w:tc>
          <w:tcPr>
            <w:tcW w:type="dxa" w:w="3078"/>
            <w:gridSpan w:val="2"/>
            <w:vAlign w:val="top"/>
            <w:tcMar>
              <w:top w:w="115" w:type="dxa"/>
              <w:left w:w="115" w:type="dxa"/>
              <w:bottom w:w="115" w:type="dxa"/>
              <w:right w:w="115" w:type="dxa"/>
            </w:tcMar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  <w:shd w:fill="FFFFFF"/>
          </w:tcPr>
          <w:p>
            <w:pPr>
              <w:spacing w:after="140"/>
            </w:pPr>
            <w:r>
              <w:rPr>
                <w:b/>
                <w:color w:val="C2410C"/>
                <w:sz w:val="22"/>
              </w:rPr>
              <w:t>Channels</w:t>
            </w:r>
          </w:p>
          <w:p>
            <w:pPr>
              <w:spacing w:after="120" w:line="250" w:lineRule="auto"/>
            </w:pPr>
            <w:r>
              <w:rPr>
                <w:sz w:val="19"/>
              </w:rPr>
              <w:t>Subject to permission: campus demonstrations, student groups, and orientation activities.</w:t>
            </w:r>
          </w:p>
          <w:p>
            <w:pPr>
              <w:spacing w:after="120" w:line="250" w:lineRule="auto"/>
            </w:pPr>
            <w:r>
              <w:rPr>
                <w:sz w:val="19"/>
              </w:rPr>
              <w:t>On-site signage and referrals.</w:t>
            </w:r>
          </w:p>
          <w:p>
            <w:pPr>
              <w:spacing w:after="120" w:line="250" w:lineRule="auto"/>
            </w:pPr>
            <w:r>
              <w:rPr>
                <w:sz w:val="19"/>
              </w:rPr>
              <w:t>Merchant interviews to learn demand.</w:t>
            </w:r>
          </w:p>
        </w:tc>
        <w:tc>
          <w:tcPr>
            <w:tcW w:type="dxa" w:w="3078"/>
            <w:gridSpan w:val="2"/>
            <w:vMerge/>
          </w:tcPr>
          <w:p/>
        </w:tc>
      </w:tr>
      <w:tr>
        <w:trPr>
          <w:cantSplit/>
        </w:trPr>
        <w:tc>
          <w:tcPr>
            <w:tcW w:type="dxa" w:w="7695"/>
            <w:gridSpan w:val="5"/>
            <w:vAlign w:val="top"/>
            <w:tcMar>
              <w:top w:w="115" w:type="dxa"/>
              <w:left w:w="115" w:type="dxa"/>
              <w:bottom w:w="115" w:type="dxa"/>
              <w:right w:w="115" w:type="dxa"/>
            </w:tcMar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  <w:shd w:fill="FFFFFF"/>
          </w:tcPr>
          <w:p>
            <w:pPr>
              <w:spacing w:after="140"/>
            </w:pPr>
            <w:r>
              <w:rPr>
                <w:b/>
                <w:color w:val="C2410C"/>
                <w:sz w:val="22"/>
              </w:rPr>
              <w:t>Cost Structure</w:t>
            </w:r>
          </w:p>
          <w:p>
            <w:pPr>
              <w:spacing w:after="120" w:line="250" w:lineRule="auto"/>
            </w:pPr>
            <w:r>
              <w:rPr>
                <w:sz w:val="19"/>
              </w:rPr>
              <w:t>Hardware, enclosure, assembly, and validation; maintenance, parts, paper, connectivity, power, host costs, cash servicing, and support.</w:t>
            </w:r>
          </w:p>
          <w:p>
            <w:pPr>
              <w:spacing w:after="120" w:line="250" w:lineRule="auto"/>
            </w:pPr>
            <w:r>
              <w:rPr>
                <w:sz w:val="19"/>
              </w:rPr>
              <w:t>Cash float and any settlement funding are separate liquidity requirements. Finished kiosk cost remains unverified.</w:t>
            </w:r>
          </w:p>
        </w:tc>
        <w:tc>
          <w:tcPr>
            <w:tcW w:type="dxa" w:w="7695"/>
            <w:gridSpan w:val="5"/>
            <w:vAlign w:val="top"/>
            <w:tcMar>
              <w:top w:w="115" w:type="dxa"/>
              <w:left w:w="115" w:type="dxa"/>
              <w:bottom w:w="115" w:type="dxa"/>
              <w:right w:w="115" w:type="dxa"/>
            </w:tcMar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  <w:shd w:fill="FFFFFF"/>
          </w:tcPr>
          <w:p>
            <w:pPr>
              <w:spacing w:after="140"/>
            </w:pPr>
            <w:r>
              <w:rPr>
                <w:b/>
                <w:color w:val="C2410C"/>
                <w:sz w:val="22"/>
              </w:rPr>
              <w:t>Revenue Streams</w:t>
            </w:r>
          </w:p>
          <w:p>
            <w:pPr>
              <w:spacing w:after="120" w:line="250" w:lineRule="auto"/>
            </w:pPr>
            <w:r>
              <w:rPr>
                <w:sz w:val="19"/>
              </w:rPr>
              <w:t>Proposed service fees on completed cash-conversion and enabled wallet transactions. Fee levels and willingness to pay are unvalidated.</w:t>
            </w:r>
          </w:p>
          <w:p>
            <w:pPr>
              <w:spacing w:after="120" w:line="250" w:lineRule="auto"/>
            </w:pPr>
            <w:r>
              <w:rPr>
                <w:sz w:val="19"/>
              </w:rPr>
              <w:t>Fee revenue less provider and direct costs gives contribution. Deduct recurring costs to estimate operating surplus. Transaction principal is not revenue.</w:t>
            </w:r>
          </w:p>
        </w:tc>
      </w:tr>
    </w:tbl>
    <w:p>
      <w:pPr>
        <w:spacing w:before="120"/>
      </w:pPr>
      <w:r>
        <w:rPr>
          <w:sz w:val="17"/>
        </w:rPr>
        <w:t>Team: Vince Ronald Maravillas (leader), Stunley Opeña, Raziel Renz Salamat</w:t>
        <w:br/>
        <w:t>BS in Computer Engineering, Department of Engineering Education, UM Tagum</w:t>
        <w:br/>
        <w:t>Contact: v.maravillas.135438.tc@umindanao.edu.ph</w:t>
      </w: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749" w:right="720" w:bottom="691" w:left="72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2676D"/>
        <w:sz w:val="16"/>
      </w:rPr>
      <w:t>SmartTech  ·  Proposed UM Tagum campus pilot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2676D"/>
        <w:sz w:val="16"/>
      </w:rPr>
      <w:t>COINNECT   /   UMasenso Hub Cohort 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4" w:lineRule="auto"/>
    </w:pPr>
    <w:rPr>
      <w:rFonts w:ascii="Arial" w:hAnsi="Arial"/>
      <w:color w:val="2025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20252B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C2410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20252B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Coinnect Lean Canvas</dc:title>
  <dc:subject>UMasenso Hub Cohort 5 Pre-Incubation Program application</dc:subject>
  <dc:creator>Coinnect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