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E8590C"/>
          <w:sz w:val="21"/>
          <w:szCs w:val="21"/>
        </w:rPr>
        <w:t xml:space="preserve">EXL ANALYTICS AI BUILDATHON  ·  IDEA SUBMISSION</w:t>
      </w:r>
    </w:p>
    <w:p>
      <w:pPr>
        <w:spacing w:after="0"/>
      </w:pPr>
      <w:r>
        <w:rPr>
          <w:rFonts w:ascii="Calibri" w:cs="Calibri" w:eastAsia="Calibri" w:hAnsi="Calibri"/>
          <w:b/>
          <w:bCs/>
          <w:color w:val="0B4F7C"/>
          <w:sz w:val="61"/>
          <w:szCs w:val="61"/>
        </w:rPr>
        <w:t xml:space="preserve">RecoverIQ</w:t>
      </w:r>
      <w:r>
        <w:rPr>
          <w:rFonts w:ascii="Calibri" w:cs="Calibri" w:eastAsia="Calibri" w:hAnsi="Calibri"/>
          <w:color w:val="555555"/>
          <w:sz w:val="23"/>
          <w:szCs w:val="23"/>
        </w:rPr>
        <w:t xml:space="preserve">   Reinsurance recovery, read from the treaty, traced to the clause</w:t>
      </w:r>
    </w:p>
    <w:p>
      <w:pPr>
        <w:shd w:fill="F3F3F3" w:color="auto" w:val="clear"/>
        <w:spacing w:after="72" w:before="216" w:line="252"/>
      </w:pPr>
      <w:r>
        <w:rPr>
          <w:rFonts w:ascii="Calibri" w:cs="Calibri" w:eastAsia="Calibri" w:hAnsi="Calibri"/>
          <w:b/>
          <w:bCs/>
          <w:sz w:val="26"/>
          <w:szCs w:val="26"/>
        </w:rPr>
        <w:t xml:space="preserve">In one line: </w:t>
      </w:r>
      <w:r>
        <w:rPr>
          <w:rFonts w:ascii="Calibri" w:cs="Calibri" w:eastAsia="Calibri" w:hAnsi="Calibri"/>
          <w:sz w:val="26"/>
          <w:szCs w:val="26"/>
        </w:rPr>
        <w:t xml:space="preserve">Insurers buy reinsurance so big losses are shared, but working out what each reinsurer owes is still manual. RecoverIQ reads the treaties, turns the wording into executable rules, runs every claim through them and drafts the bill, with every dollar traced to the clause that justifies it.</w:t>
      </w:r>
    </w:p>
    <w:p>
      <w:pPr>
        <w:pBdr>
          <w:bottom w:val="single" w:color="E8590C" w:sz="6" w:space="1"/>
        </w:pBdr>
        <w:spacing w:after="180" w:before="396" w:line="252"/>
      </w:pPr>
      <w:r>
        <w:rPr>
          <w:rFonts w:ascii="Calibri" w:cs="Calibri" w:eastAsia="Calibri" w:hAnsi="Calibri"/>
          <w:b/>
          <w:bCs/>
          <w:color w:val="0B4F7C"/>
          <w:sz w:val="28"/>
          <w:szCs w:val="28"/>
        </w:rPr>
        <w:t xml:space="preserve">1. THE PROBLEM: MONEY THE INSURER IS OWED BUT NEVER BILLS</w:t>
      </w:r>
    </w:p>
    <w:p>
      <w:pPr>
        <w:pStyle w:val="ListParagraph"/>
        <w:numPr>
          <w:ilvl w:val="0"/>
          <w:numId w:val="2"/>
        </w:numPr>
        <w:spacing w:after="72" w:before="0" w:line="252"/>
      </w:pPr>
      <w:r>
        <w:rPr>
          <w:rFonts w:ascii="Calibri" w:cs="Calibri" w:eastAsia="Calibri" w:hAnsi="Calibri"/>
          <w:b/>
          <w:bCs/>
          <w:sz w:val="26"/>
          <w:szCs w:val="26"/>
        </w:rPr>
        <w:t xml:space="preserve">Today: </w:t>
      </w:r>
      <w:r>
        <w:rPr>
          <w:rFonts w:ascii="Calibri" w:cs="Calibri" w:eastAsia="Calibri" w:hAnsi="Calibri"/>
          <w:sz w:val="26"/>
          <w:szCs w:val="26"/>
        </w:rPr>
        <w:t xml:space="preserve">analysts read treaty PDFs by hand, group claims into “events” and calculate recoveries in spreadsheets; follow-ups run over email.</w:t>
      </w:r>
    </w:p>
    <w:p>
      <w:pPr>
        <w:pStyle w:val="ListParagraph"/>
        <w:numPr>
          <w:ilvl w:val="0"/>
          <w:numId w:val="2"/>
        </w:numPr>
        <w:spacing w:after="72" w:before="0" w:line="252"/>
      </w:pPr>
      <w:r>
        <w:rPr>
          <w:rFonts w:ascii="Calibri" w:cs="Calibri" w:eastAsia="Calibri" w:hAnsi="Calibri"/>
          <w:b/>
          <w:bCs/>
          <w:sz w:val="26"/>
          <w:szCs w:val="26"/>
        </w:rPr>
        <w:t xml:space="preserve">Result: </w:t>
      </w:r>
      <w:r>
        <w:rPr>
          <w:rFonts w:ascii="Calibri" w:cs="Calibri" w:eastAsia="Calibri" w:hAnsi="Calibri"/>
          <w:sz w:val="26"/>
          <w:szCs w:val="26"/>
        </w:rPr>
        <w:t xml:space="preserve">small claims that add up are missed, catastrophe claims are grouped wrongly, notices go out late, and the audit trail is weak. A recovery never billed is lost for good.</w:t>
      </w:r>
    </w:p>
    <w:p>
      <w:pPr>
        <w:pBdr>
          <w:bottom w:val="single" w:color="E8590C" w:sz="6" w:space="1"/>
        </w:pBdr>
        <w:spacing w:after="180" w:before="396" w:line="252"/>
      </w:pPr>
      <w:r>
        <w:rPr>
          <w:rFonts w:ascii="Calibri" w:cs="Calibri" w:eastAsia="Calibri" w:hAnsi="Calibri"/>
          <w:b/>
          <w:bCs/>
          <w:color w:val="0B4F7C"/>
          <w:sz w:val="28"/>
          <w:szCs w:val="28"/>
        </w:rPr>
        <w:t xml:space="preserve">2. THE SOLUTION: AI READS, RULES CALCULATE, A HUMAN APPROVES</w:t>
      </w:r>
    </w:p>
    <w:tbl>
      <w:tblPr>
        <w:tblW w:type="dxa" w:w="10464"/>
        <w:tblBorders>
          <w:top w:val="single" w:color="auto" w:sz="4"/>
          <w:left w:val="single" w:color="auto" w:sz="4"/>
          <w:bottom w:val="single" w:color="auto" w:sz="4"/>
          <w:right w:val="single" w:color="auto" w:sz="4"/>
          <w:insideH w:val="single" w:color="auto" w:sz="4"/>
          <w:insideV w:val="single" w:color="auto" w:sz="4"/>
        </w:tblBorders>
      </w:tblPr>
      <w:tblGrid>
        <w:gridCol w:w="1744"/>
        <w:gridCol w:w="1744"/>
        <w:gridCol w:w="1744"/>
        <w:gridCol w:w="1744"/>
        <w:gridCol w:w="1744"/>
        <w:gridCol w:w="1744"/>
      </w:tblGrid>
      <w:tr>
        <w:tc>
          <w:tcPr>
            <w:tcW w:type="dxa" w:w="1744"/>
            <w:tcBorders>
              <w:top w:val="single" w:color="555555" w:sz="18"/>
              <w:left w:val="single" w:color="FFFFFF" w:sz="12"/>
              <w:bottom w:val="none" w:color="FFFFFF" w:sz="0"/>
              <w:right w:val="single" w:color="FFFFFF" w:sz="12"/>
            </w:tcBorders>
            <w:shd w:fill="EEF3F7" w:color="auto" w:val="clear"/>
            <w:tcMar>
              <w:top w:type="dxa" w:w="50"/>
              <w:left w:type="dxa" w:w="80"/>
              <w:bottom w:type="dxa" w:w="50"/>
              <w:right w:type="dxa" w:w="80"/>
            </w:tcMar>
          </w:tcPr>
          <w:p>
            <w:pPr>
              <w:spacing w:after="36" w:before="0" w:line="252"/>
            </w:pPr>
            <w:r>
              <w:rPr>
                <w:rFonts w:ascii="Calibri" w:cs="Calibri" w:eastAsia="Calibri" w:hAnsi="Calibri"/>
                <w:b/>
                <w:bCs/>
                <w:color w:val="555555"/>
                <w:sz w:val="19"/>
                <w:szCs w:val="19"/>
              </w:rPr>
              <w:t xml:space="preserve">1. DATA</w:t>
            </w:r>
          </w:p>
          <w:p>
            <w:pPr>
              <w:spacing w:after="36" w:before="0" w:line="252"/>
            </w:pPr>
            <w:r>
              <w:rPr>
                <w:rFonts w:ascii="Calibri" w:cs="Calibri" w:eastAsia="Calibri" w:hAnsi="Calibri"/>
                <w:b/>
                <w:bCs/>
                <w:sz w:val="26"/>
                <w:szCs w:val="26"/>
              </w:rPr>
              <w:t xml:space="preserve">Data</w:t>
            </w:r>
          </w:p>
          <w:p>
            <w:pPr>
              <w:spacing w:after="0" w:before="0" w:line="220"/>
            </w:pPr>
            <w:r>
              <w:rPr>
                <w:rFonts w:ascii="Calibri" w:cs="Calibri" w:eastAsia="Calibri" w:hAnsi="Calibri"/>
                <w:color w:val="555555"/>
                <w:sz w:val="22"/>
                <w:szCs w:val="22"/>
              </w:rPr>
              <w:t xml:space="preserve">Treaties, claims, cat events</w:t>
            </w:r>
          </w:p>
        </w:tc>
        <w:tc>
          <w:tcPr>
            <w:tcW w:type="dxa" w:w="1744"/>
            <w:tcBorders>
              <w:top w:val="single" w:color="E8590C" w:sz="18"/>
              <w:left w:val="single" w:color="FFFFFF" w:sz="12"/>
              <w:bottom w:val="none" w:color="FFFFFF" w:sz="0"/>
              <w:right w:val="single" w:color="FFFFFF" w:sz="12"/>
            </w:tcBorders>
            <w:shd w:fill="FDECE3" w:color="auto" w:val="clear"/>
            <w:tcMar>
              <w:top w:type="dxa" w:w="50"/>
              <w:left w:type="dxa" w:w="80"/>
              <w:bottom w:type="dxa" w:w="50"/>
              <w:right w:type="dxa" w:w="80"/>
            </w:tcMar>
          </w:tcPr>
          <w:p>
            <w:pPr>
              <w:spacing w:after="36" w:before="0" w:line="252"/>
            </w:pPr>
            <w:r>
              <w:rPr>
                <w:rFonts w:ascii="Calibri" w:cs="Calibri" w:eastAsia="Calibri" w:hAnsi="Calibri"/>
                <w:b/>
                <w:bCs/>
                <w:color w:val="E8590C"/>
                <w:sz w:val="19"/>
                <w:szCs w:val="19"/>
              </w:rPr>
              <w:t xml:space="preserve">2. AI AGENT</w:t>
            </w:r>
          </w:p>
          <w:p>
            <w:pPr>
              <w:spacing w:after="36" w:before="0" w:line="252"/>
            </w:pPr>
            <w:r>
              <w:rPr>
                <w:rFonts w:ascii="Calibri" w:cs="Calibri" w:eastAsia="Calibri" w:hAnsi="Calibri"/>
                <w:b/>
                <w:bCs/>
                <w:sz w:val="26"/>
                <w:szCs w:val="26"/>
              </w:rPr>
              <w:t xml:space="preserve">Treaty reader</w:t>
            </w:r>
          </w:p>
          <w:p>
            <w:pPr>
              <w:spacing w:after="0" w:before="0" w:line="220"/>
            </w:pPr>
            <w:r>
              <w:rPr>
                <w:rFonts w:ascii="Calibri" w:cs="Calibri" w:eastAsia="Calibri" w:hAnsi="Calibri"/>
                <w:color w:val="555555"/>
                <w:sz w:val="22"/>
                <w:szCs w:val="22"/>
              </w:rPr>
              <w:t xml:space="preserve">Wording → executable rules</w:t>
            </w:r>
          </w:p>
        </w:tc>
        <w:tc>
          <w:tcPr>
            <w:tcW w:type="dxa" w:w="1744"/>
            <w:tcBorders>
              <w:top w:val="single" w:color="0B4F7C" w:sz="18"/>
              <w:left w:val="single" w:color="FFFFFF" w:sz="12"/>
              <w:bottom w:val="none" w:color="FFFFFF" w:sz="0"/>
              <w:right w:val="single" w:color="FFFFFF" w:sz="12"/>
            </w:tcBorders>
            <w:shd w:fill="E3EEF6" w:color="auto" w:val="clear"/>
            <w:tcMar>
              <w:top w:type="dxa" w:w="50"/>
              <w:left w:type="dxa" w:w="80"/>
              <w:bottom w:type="dxa" w:w="50"/>
              <w:right w:type="dxa" w:w="80"/>
            </w:tcMar>
          </w:tcPr>
          <w:p>
            <w:pPr>
              <w:spacing w:after="36" w:before="0" w:line="252"/>
            </w:pPr>
            <w:r>
              <w:rPr>
                <w:rFonts w:ascii="Calibri" w:cs="Calibri" w:eastAsia="Calibri" w:hAnsi="Calibri"/>
                <w:b/>
                <w:bCs/>
                <w:color w:val="0B4F7C"/>
                <w:sz w:val="19"/>
                <w:szCs w:val="19"/>
              </w:rPr>
              <w:t xml:space="preserve">3. RULES</w:t>
            </w:r>
          </w:p>
          <w:p>
            <w:pPr>
              <w:spacing w:after="36" w:before="0" w:line="252"/>
            </w:pPr>
            <w:r>
              <w:rPr>
                <w:rFonts w:ascii="Calibri" w:cs="Calibri" w:eastAsia="Calibri" w:hAnsi="Calibri"/>
                <w:b/>
                <w:bCs/>
                <w:sz w:val="26"/>
                <w:szCs w:val="26"/>
              </w:rPr>
              <w:t xml:space="preserve">Recovery engine</w:t>
            </w:r>
          </w:p>
          <w:p>
            <w:pPr>
              <w:spacing w:after="0" w:before="0" w:line="220"/>
            </w:pPr>
            <w:r>
              <w:rPr>
                <w:rFonts w:ascii="Calibri" w:cs="Calibri" w:eastAsia="Calibri" w:hAnsi="Calibri"/>
                <w:color w:val="555555"/>
                <w:sz w:val="22"/>
                <w:szCs w:val="22"/>
              </w:rPr>
              <w:t xml:space="preserve">Exact calculation</w:t>
            </w:r>
          </w:p>
        </w:tc>
        <w:tc>
          <w:tcPr>
            <w:tcW w:type="dxa" w:w="1744"/>
            <w:tcBorders>
              <w:top w:val="single" w:color="0B4F7C" w:sz="18"/>
              <w:left w:val="single" w:color="FFFFFF" w:sz="12"/>
              <w:bottom w:val="none" w:color="FFFFFF" w:sz="0"/>
              <w:right w:val="single" w:color="FFFFFF" w:sz="12"/>
            </w:tcBorders>
            <w:shd w:fill="E3EEF6" w:color="auto" w:val="clear"/>
            <w:tcMar>
              <w:top w:type="dxa" w:w="50"/>
              <w:left w:type="dxa" w:w="80"/>
              <w:bottom w:type="dxa" w:w="50"/>
              <w:right w:type="dxa" w:w="80"/>
            </w:tcMar>
          </w:tcPr>
          <w:p>
            <w:pPr>
              <w:spacing w:after="36" w:before="0" w:line="252"/>
            </w:pPr>
            <w:r>
              <w:rPr>
                <w:rFonts w:ascii="Calibri" w:cs="Calibri" w:eastAsia="Calibri" w:hAnsi="Calibri"/>
                <w:b/>
                <w:bCs/>
                <w:color w:val="0B4F7C"/>
                <w:sz w:val="19"/>
                <w:szCs w:val="19"/>
              </w:rPr>
              <w:t xml:space="preserve">4. RULES</w:t>
            </w:r>
          </w:p>
          <w:p>
            <w:pPr>
              <w:spacing w:after="36" w:before="0" w:line="252"/>
            </w:pPr>
            <w:r>
              <w:rPr>
                <w:rFonts w:ascii="Calibri" w:cs="Calibri" w:eastAsia="Calibri" w:hAnsi="Calibri"/>
                <w:b/>
                <w:bCs/>
                <w:sz w:val="26"/>
                <w:szCs w:val="26"/>
              </w:rPr>
              <w:t xml:space="preserve">Gap finder</w:t>
            </w:r>
          </w:p>
          <w:p>
            <w:pPr>
              <w:spacing w:after="0" w:before="0" w:line="220"/>
            </w:pPr>
            <w:r>
              <w:rPr>
                <w:rFonts w:ascii="Calibri" w:cs="Calibri" w:eastAsia="Calibri" w:hAnsi="Calibri"/>
                <w:color w:val="555555"/>
                <w:sz w:val="22"/>
                <w:szCs w:val="22"/>
              </w:rPr>
              <w:t xml:space="preserve">Missed, under-billed, late</w:t>
            </w:r>
          </w:p>
        </w:tc>
        <w:tc>
          <w:tcPr>
            <w:tcW w:type="dxa" w:w="1744"/>
            <w:tcBorders>
              <w:top w:val="single" w:color="555555" w:sz="18"/>
              <w:left w:val="single" w:color="FFFFFF" w:sz="12"/>
              <w:bottom w:val="none" w:color="FFFFFF" w:sz="0"/>
              <w:right w:val="single" w:color="FFFFFF" w:sz="12"/>
            </w:tcBorders>
            <w:shd w:fill="EDEDED" w:color="auto" w:val="clear"/>
            <w:tcMar>
              <w:top w:type="dxa" w:w="50"/>
              <w:left w:type="dxa" w:w="80"/>
              <w:bottom w:type="dxa" w:w="50"/>
              <w:right w:type="dxa" w:w="80"/>
            </w:tcMar>
          </w:tcPr>
          <w:p>
            <w:pPr>
              <w:spacing w:after="36" w:before="0" w:line="252"/>
            </w:pPr>
            <w:r>
              <w:rPr>
                <w:rFonts w:ascii="Calibri" w:cs="Calibri" w:eastAsia="Calibri" w:hAnsi="Calibri"/>
                <w:b/>
                <w:bCs/>
                <w:color w:val="555555"/>
                <w:sz w:val="19"/>
                <w:szCs w:val="19"/>
              </w:rPr>
              <w:t xml:space="preserve">5. HUMAN</w:t>
            </w:r>
          </w:p>
          <w:p>
            <w:pPr>
              <w:spacing w:after="36" w:before="0" w:line="252"/>
            </w:pPr>
            <w:r>
              <w:rPr>
                <w:rFonts w:ascii="Calibri" w:cs="Calibri" w:eastAsia="Calibri" w:hAnsi="Calibri"/>
                <w:b/>
                <w:bCs/>
                <w:sz w:val="26"/>
                <w:szCs w:val="26"/>
              </w:rPr>
              <w:t xml:space="preserve">Analyst</w:t>
            </w:r>
          </w:p>
          <w:p>
            <w:pPr>
              <w:spacing w:after="0" w:before="0" w:line="220"/>
            </w:pPr>
            <w:r>
              <w:rPr>
                <w:rFonts w:ascii="Calibri" w:cs="Calibri" w:eastAsia="Calibri" w:hAnsi="Calibri"/>
                <w:color w:val="555555"/>
                <w:sz w:val="22"/>
                <w:szCs w:val="22"/>
              </w:rPr>
              <w:t xml:space="preserve">Approves or adjusts</w:t>
            </w:r>
          </w:p>
        </w:tc>
        <w:tc>
          <w:tcPr>
            <w:tcW w:type="dxa" w:w="1744"/>
            <w:tcBorders>
              <w:top w:val="single" w:color="E8590C" w:sz="18"/>
              <w:left w:val="single" w:color="FFFFFF" w:sz="12"/>
              <w:bottom w:val="none" w:color="FFFFFF" w:sz="0"/>
              <w:right w:val="single" w:color="FFFFFF" w:sz="12"/>
            </w:tcBorders>
            <w:shd w:fill="FDECE3" w:color="auto" w:val="clear"/>
            <w:tcMar>
              <w:top w:type="dxa" w:w="50"/>
              <w:left w:type="dxa" w:w="80"/>
              <w:bottom w:type="dxa" w:w="50"/>
              <w:right w:type="dxa" w:w="80"/>
            </w:tcMar>
          </w:tcPr>
          <w:p>
            <w:pPr>
              <w:spacing w:after="36" w:before="0" w:line="252"/>
            </w:pPr>
            <w:r>
              <w:rPr>
                <w:rFonts w:ascii="Calibri" w:cs="Calibri" w:eastAsia="Calibri" w:hAnsi="Calibri"/>
                <w:b/>
                <w:bCs/>
                <w:color w:val="E8590C"/>
                <w:sz w:val="19"/>
                <w:szCs w:val="19"/>
              </w:rPr>
              <w:t xml:space="preserve">6. AI AGENT</w:t>
            </w:r>
          </w:p>
          <w:p>
            <w:pPr>
              <w:spacing w:after="36" w:before="0" w:line="252"/>
            </w:pPr>
            <w:r>
              <w:rPr>
                <w:rFonts w:ascii="Calibri" w:cs="Calibri" w:eastAsia="Calibri" w:hAnsi="Calibri"/>
                <w:b/>
                <w:bCs/>
                <w:sz w:val="26"/>
                <w:szCs w:val="26"/>
              </w:rPr>
              <w:t xml:space="preserve">Bill &amp; track</w:t>
            </w:r>
          </w:p>
          <w:p>
            <w:pPr>
              <w:spacing w:after="0" w:before="0" w:line="220"/>
            </w:pPr>
            <w:r>
              <w:rPr>
                <w:rFonts w:ascii="Calibri" w:cs="Calibri" w:eastAsia="Calibri" w:hAnsi="Calibri"/>
                <w:color w:val="555555"/>
                <w:sz w:val="22"/>
                <w:szCs w:val="22"/>
              </w:rPr>
              <w:t xml:space="preserve">Statement + follow-up</w:t>
            </w:r>
          </w:p>
        </w:tc>
      </w:tr>
    </w:tbl>
    <w:p>
      <w:pPr>
        <w:spacing w:after="216" w:before="180" w:line="252"/>
      </w:pPr>
      <w:r>
        <w:rPr>
          <w:rFonts w:ascii="Calibri" w:cs="Calibri" w:eastAsia="Calibri" w:hAnsi="Calibri"/>
          <w:i/>
          <w:iCs/>
          <w:color w:val="555555"/>
          <w:sz w:val="23"/>
          <w:szCs w:val="23"/>
        </w:rPr>
        <w:t xml:space="preserve">The LLM only reads treaty wording into rules, each linked to its clause. Money is calculated by a deterministic engine, so every figure is repeatable and auditable.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single" w:color="E8590C" w:sz="24"/>
              <w:bottom w:val="none" w:color="FFFFFF" w:sz="0"/>
              <w:right w:val="none" w:color="FFFFFF" w:sz="0"/>
            </w:tcBorders>
            <w:shd w:fill="FFF4EC" w:color="auto" w:val="clear"/>
            <w:tcMar>
              <w:top w:type="dxa" w:w="60"/>
              <w:left w:type="dxa" w:w="140"/>
              <w:bottom w:type="dxa" w:w="60"/>
              <w:right w:type="dxa" w:w="120"/>
            </w:tcMar>
          </w:tcPr>
          <w:p>
            <w:pPr>
              <w:spacing w:after="0" w:before="0" w:line="240"/>
            </w:pPr>
            <w:r>
              <w:rPr>
                <w:rFonts w:ascii="Calibri" w:cs="Calibri" w:eastAsia="Calibri" w:hAnsi="Calibri"/>
                <w:b/>
                <w:bCs/>
                <w:color w:val="E8590C"/>
                <w:sz w:val="25"/>
                <w:szCs w:val="25"/>
              </w:rPr>
              <w:t xml:space="preserve">Example (illustrative): </w:t>
            </w:r>
            <w:r>
              <w:rPr>
                <w:rFonts w:ascii="Calibri" w:cs="Calibri" w:eastAsia="Calibri" w:hAnsi="Calibri"/>
                <w:sz w:val="25"/>
                <w:szCs w:val="25"/>
              </w:rPr>
              <w:t xml:space="preserve">A hurricane causes losses over 6 days. The treaty lets the insurer pick any 3 consecutive days as one event. The team picked 27–29 Aug ($15.4M loss) and billed </w:t>
            </w:r>
            <w:r>
              <w:rPr>
                <w:rFonts w:ascii="Calibri" w:cs="Calibri" w:eastAsia="Calibri" w:hAnsi="Calibri"/>
                <w:b/>
                <w:bCs/>
                <w:sz w:val="25"/>
                <w:szCs w:val="25"/>
              </w:rPr>
              <w:t xml:space="preserve">$10.4M</w:t>
            </w:r>
            <w:r>
              <w:rPr>
                <w:rFonts w:ascii="Calibri" w:cs="Calibri" w:eastAsia="Calibri" w:hAnsi="Calibri"/>
                <w:sz w:val="25"/>
                <w:szCs w:val="25"/>
              </w:rPr>
              <w:t xml:space="preserve">. RecoverIQ tests every allowed window, finds 28–30 Aug recovers </w:t>
            </w:r>
            <w:r>
              <w:rPr>
                <w:rFonts w:ascii="Calibri" w:cs="Calibri" w:eastAsia="Calibri" w:hAnsi="Calibri"/>
                <w:b/>
                <w:bCs/>
                <w:sz w:val="25"/>
                <w:szCs w:val="25"/>
              </w:rPr>
              <w:t xml:space="preserve">$13.4M</w:t>
            </w:r>
            <w:r>
              <w:rPr>
                <w:rFonts w:ascii="Calibri" w:cs="Calibri" w:eastAsia="Calibri" w:hAnsi="Calibri"/>
                <w:sz w:val="25"/>
                <w:szCs w:val="25"/>
              </w:rPr>
              <w:t xml:space="preserve">, and flags the </w:t>
            </w:r>
            <w:r>
              <w:rPr>
                <w:rFonts w:ascii="Calibri" w:cs="Calibri" w:eastAsia="Calibri" w:hAnsi="Calibri"/>
                <w:b/>
                <w:bCs/>
                <w:color w:val="E8590C"/>
                <w:sz w:val="25"/>
                <w:szCs w:val="25"/>
              </w:rPr>
              <w:t xml:space="preserve">$3.0M</w:t>
            </w:r>
            <w:r>
              <w:rPr>
                <w:rFonts w:ascii="Calibri" w:cs="Calibri" w:eastAsia="Calibri" w:hAnsi="Calibri"/>
                <w:sz w:val="25"/>
                <w:szCs w:val="25"/>
              </w:rPr>
              <w:t xml:space="preserve"> left on the table, citing the clause.</w:t>
            </w:r>
          </w:p>
        </w:tc>
      </w:tr>
    </w:tbl>
    <w:p>
      <w:pPr>
        <w:pBdr>
          <w:bottom w:val="single" w:color="E8590C" w:sz="6" w:space="1"/>
        </w:pBdr>
        <w:spacing w:after="180" w:before="396" w:line="252"/>
      </w:pPr>
      <w:r>
        <w:rPr>
          <w:rFonts w:ascii="Calibri" w:cs="Calibri" w:eastAsia="Calibri" w:hAnsi="Calibri"/>
          <w:b/>
          <w:bCs/>
          <w:color w:val="0B4F7C"/>
          <w:sz w:val="28"/>
          <w:szCs w:val="28"/>
        </w:rPr>
        <w:t xml:space="preserve">3. WHY IT MATTERS</w:t>
      </w:r>
    </w:p>
    <w:p>
      <w:pPr>
        <w:pStyle w:val="ListParagraph"/>
        <w:numPr>
          <w:ilvl w:val="0"/>
          <w:numId w:val="2"/>
        </w:numPr>
        <w:spacing w:after="72" w:before="0" w:line="252"/>
      </w:pPr>
      <w:r>
        <w:rPr>
          <w:rFonts w:ascii="Calibri" w:cs="Calibri" w:eastAsia="Calibri" w:hAnsi="Calibri"/>
          <w:b/>
          <w:bCs/>
          <w:sz w:val="26"/>
          <w:szCs w:val="26"/>
        </w:rPr>
        <w:t xml:space="preserve">Missed money: </w:t>
      </w:r>
      <w:r>
        <w:rPr>
          <w:rFonts w:ascii="Calibri" w:cs="Calibri" w:eastAsia="Calibri" w:hAnsi="Calibri"/>
          <w:sz w:val="26"/>
          <w:szCs w:val="26"/>
        </w:rPr>
        <w:t xml:space="preserve">direct bottom-line recovery.  </w:t>
      </w:r>
      <w:r>
        <w:rPr>
          <w:rFonts w:ascii="Calibri" w:cs="Calibri" w:eastAsia="Calibri" w:hAnsi="Calibri"/>
          <w:b/>
          <w:bCs/>
          <w:sz w:val="26"/>
          <w:szCs w:val="26"/>
        </w:rPr>
        <w:t xml:space="preserve">Cash flow: </w:t>
      </w:r>
      <w:r>
        <w:rPr>
          <w:rFonts w:ascii="Calibri" w:cs="Calibri" w:eastAsia="Calibri" w:hAnsi="Calibri"/>
          <w:sz w:val="26"/>
          <w:szCs w:val="26"/>
        </w:rPr>
        <w:t xml:space="preserve">faster billing frees capital.  </w:t>
      </w:r>
      <w:r>
        <w:rPr>
          <w:rFonts w:ascii="Calibri" w:cs="Calibri" w:eastAsia="Calibri" w:hAnsi="Calibri"/>
          <w:b/>
          <w:bCs/>
          <w:sz w:val="26"/>
          <w:szCs w:val="26"/>
        </w:rPr>
        <w:t xml:space="preserve">Fewer disputes: </w:t>
      </w:r>
      <w:r>
        <w:rPr>
          <w:rFonts w:ascii="Calibri" w:cs="Calibri" w:eastAsia="Calibri" w:hAnsi="Calibri"/>
          <w:sz w:val="26"/>
          <w:szCs w:val="26"/>
        </w:rPr>
        <w:t xml:space="preserve">clause-level evidence.  </w:t>
      </w:r>
      <w:r>
        <w:rPr>
          <w:rFonts w:ascii="Calibri" w:cs="Calibri" w:eastAsia="Calibri" w:hAnsi="Calibri"/>
          <w:b/>
          <w:bCs/>
          <w:sz w:val="26"/>
          <w:szCs w:val="26"/>
        </w:rPr>
        <w:t xml:space="preserve">Renewal leverage: </w:t>
      </w:r>
      <w:r>
        <w:rPr>
          <w:rFonts w:ascii="Calibri" w:cs="Calibri" w:eastAsia="Calibri" w:hAnsi="Calibri"/>
          <w:sz w:val="26"/>
          <w:szCs w:val="26"/>
        </w:rPr>
        <w:t xml:space="preserve">shows what other structures would have paid.</w:t>
      </w:r>
    </w:p>
    <w:p>
      <w:pPr>
        <w:pStyle w:val="ListParagraph"/>
        <w:numPr>
          <w:ilvl w:val="0"/>
          <w:numId w:val="2"/>
        </w:numPr>
        <w:spacing w:after="72" w:before="0" w:line="252"/>
      </w:pPr>
      <w:r>
        <w:rPr>
          <w:rFonts w:ascii="Calibri" w:cs="Calibri" w:eastAsia="Calibri" w:hAnsi="Calibri"/>
          <w:b/>
          <w:bCs/>
          <w:sz w:val="26"/>
          <w:szCs w:val="26"/>
        </w:rPr>
        <w:t xml:space="preserve">To quantify for the business case: </w:t>
      </w:r>
      <w:r>
        <w:rPr>
          <w:rFonts w:ascii="Calibri" w:cs="Calibri" w:eastAsia="Calibri" w:hAnsi="Calibri"/>
          <w:sz w:val="26"/>
          <w:szCs w:val="26"/>
        </w:rPr>
        <w:t xml:space="preserve">recoverables per year, share of claims ceded, missed-recovery rate from audits, days from loss to cash.</w:t>
      </w:r>
    </w:p>
    <w:p>
      <w:pPr>
        <w:pBdr>
          <w:bottom w:val="single" w:color="E8590C" w:sz="6" w:space="1"/>
        </w:pBdr>
        <w:spacing w:after="180" w:before="396" w:line="252"/>
      </w:pPr>
      <w:r>
        <w:rPr>
          <w:rFonts w:ascii="Calibri" w:cs="Calibri" w:eastAsia="Calibri" w:hAnsi="Calibri"/>
          <w:b/>
          <w:bCs/>
          <w:color w:val="0B4F7C"/>
          <w:sz w:val="28"/>
          <w:szCs w:val="28"/>
        </w:rPr>
        <w:t xml:space="preserve">4. FIT WITH THE BUILDATHON DESIGN PRINCIPLES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c>
          <w:tcPr>
            <w:tcW w:type="dxa" w:w="2300"/>
            <w:tcBorders>
              <w:top w:val="single" w:color="C9D3DB" w:sz="4"/>
              <w:left w:val="single" w:color="C9D3DB" w:sz="4"/>
              <w:bottom w:val="single" w:color="C9D3DB" w:sz="4"/>
              <w:right w:val="single" w:color="C9D3DB" w:sz="4"/>
            </w:tcBorders>
            <w:shd w:fill="EEF3F7" w:color="auto" w:val="clear"/>
            <w:tcMar>
              <w:top w:type="dxa" w:w="30"/>
              <w:left w:type="dxa" w:w="100"/>
              <w:bottom w:type="dxa" w:w="30"/>
              <w:right w:type="dxa" w:w="80"/>
            </w:tcMar>
          </w:tcPr>
          <w:p>
            <w:pPr>
              <w:spacing w:after="0" w:before="0" w:line="252"/>
            </w:pPr>
            <w:r>
              <w:rPr>
                <w:rFonts w:ascii="Calibri" w:cs="Calibri" w:eastAsia="Calibri" w:hAnsi="Calibri"/>
                <w:b/>
                <w:bCs/>
                <w:color w:val="0B4F7C"/>
                <w:sz w:val="25"/>
                <w:szCs w:val="25"/>
              </w:rPr>
              <w:t xml:space="preserve">Real insurance problem</w:t>
            </w:r>
          </w:p>
        </w:tc>
        <w:tc>
          <w:tcPr>
            <w:tcW w:type="dxa" w:w="8166"/>
            <w:tcBorders>
              <w:top w:val="single" w:color="C9D3DB" w:sz="4"/>
              <w:left w:val="single" w:color="C9D3DB" w:sz="4"/>
              <w:bottom w:val="single" w:color="C9D3DB" w:sz="4"/>
              <w:right w:val="single" w:color="C9D3DB" w:sz="4"/>
            </w:tcBorders>
            <w:tcMar>
              <w:top w:type="dxa" w:w="30"/>
              <w:left w:type="dxa" w:w="100"/>
              <w:bottom w:type="dxa" w:w="30"/>
              <w:right w:type="dxa" w:w="80"/>
            </w:tcMar>
          </w:tcPr>
          <w:p>
            <w:pPr>
              <w:spacing w:after="0" w:before="0" w:line="236"/>
            </w:pPr>
            <w:r>
              <w:rPr>
                <w:rFonts w:ascii="Calibri" w:cs="Calibri" w:eastAsia="Calibri" w:hAnsi="Calibri"/>
                <w:sz w:val="25"/>
                <w:szCs w:val="25"/>
              </w:rPr>
              <w:t xml:space="preserve">Every carrier with reinsurance must find and bill recoveries today; it is manual and leaks money.</w:t>
            </w:r>
          </w:p>
        </w:tc>
      </w:tr>
      <w:tr>
        <w:tc>
          <w:tcPr>
            <w:tcW w:type="dxa" w:w="2300"/>
            <w:tcBorders>
              <w:top w:val="single" w:color="C9D3DB" w:sz="4"/>
              <w:left w:val="single" w:color="C9D3DB" w:sz="4"/>
              <w:bottom w:val="single" w:color="C9D3DB" w:sz="4"/>
              <w:right w:val="single" w:color="C9D3DB" w:sz="4"/>
            </w:tcBorders>
            <w:shd w:fill="EEF3F7" w:color="auto" w:val="clear"/>
            <w:tcMar>
              <w:top w:type="dxa" w:w="30"/>
              <w:left w:type="dxa" w:w="100"/>
              <w:bottom w:type="dxa" w:w="30"/>
              <w:right w:type="dxa" w:w="80"/>
            </w:tcMar>
          </w:tcPr>
          <w:p>
            <w:pPr>
              <w:spacing w:after="0" w:before="0" w:line="252"/>
            </w:pPr>
            <w:r>
              <w:rPr>
                <w:rFonts w:ascii="Calibri" w:cs="Calibri" w:eastAsia="Calibri" w:hAnsi="Calibri"/>
                <w:b/>
                <w:bCs/>
                <w:color w:val="0B4F7C"/>
                <w:sz w:val="25"/>
                <w:szCs w:val="25"/>
              </w:rPr>
              <w:t xml:space="preserve">Analytics &amp; AI excellence</w:t>
            </w:r>
          </w:p>
        </w:tc>
        <w:tc>
          <w:tcPr>
            <w:tcW w:type="dxa" w:w="8166"/>
            <w:tcBorders>
              <w:top w:val="single" w:color="C9D3DB" w:sz="4"/>
              <w:left w:val="single" w:color="C9D3DB" w:sz="4"/>
              <w:bottom w:val="single" w:color="C9D3DB" w:sz="4"/>
              <w:right w:val="single" w:color="C9D3DB" w:sz="4"/>
            </w:tcBorders>
            <w:tcMar>
              <w:top w:type="dxa" w:w="30"/>
              <w:left w:type="dxa" w:w="100"/>
              <w:bottom w:type="dxa" w:w="30"/>
              <w:right w:type="dxa" w:w="80"/>
            </w:tcMar>
          </w:tcPr>
          <w:p>
            <w:pPr>
              <w:spacing w:after="0" w:before="0" w:line="236"/>
            </w:pPr>
            <w:r>
              <w:rPr>
                <w:rFonts w:ascii="Calibri" w:cs="Calibri" w:eastAsia="Calibri" w:hAnsi="Calibri"/>
                <w:sz w:val="25"/>
                <w:szCs w:val="25"/>
              </w:rPr>
              <w:t xml:space="preserve">LLM reads treaties; rules engine calculates; anomaly checks flag missed or late recoveries; BI view.</w:t>
            </w:r>
          </w:p>
        </w:tc>
      </w:tr>
      <w:tr>
        <w:tc>
          <w:tcPr>
            <w:tcW w:type="dxa" w:w="2300"/>
            <w:tcBorders>
              <w:top w:val="single" w:color="C9D3DB" w:sz="4"/>
              <w:left w:val="single" w:color="C9D3DB" w:sz="4"/>
              <w:bottom w:val="single" w:color="C9D3DB" w:sz="4"/>
              <w:right w:val="single" w:color="C9D3DB" w:sz="4"/>
            </w:tcBorders>
            <w:shd w:fill="EEF3F7" w:color="auto" w:val="clear"/>
            <w:tcMar>
              <w:top w:type="dxa" w:w="30"/>
              <w:left w:type="dxa" w:w="100"/>
              <w:bottom w:type="dxa" w:w="30"/>
              <w:right w:type="dxa" w:w="80"/>
            </w:tcMar>
          </w:tcPr>
          <w:p>
            <w:pPr>
              <w:spacing w:after="0" w:before="0" w:line="252"/>
            </w:pPr>
            <w:r>
              <w:rPr>
                <w:rFonts w:ascii="Calibri" w:cs="Calibri" w:eastAsia="Calibri" w:hAnsi="Calibri"/>
                <w:b/>
                <w:bCs/>
                <w:color w:val="0B4F7C"/>
                <w:sz w:val="25"/>
                <w:szCs w:val="25"/>
              </w:rPr>
              <w:t xml:space="preserve">Differentiation</w:t>
            </w:r>
          </w:p>
        </w:tc>
        <w:tc>
          <w:tcPr>
            <w:tcW w:type="dxa" w:w="8166"/>
            <w:tcBorders>
              <w:top w:val="single" w:color="C9D3DB" w:sz="4"/>
              <w:left w:val="single" w:color="C9D3DB" w:sz="4"/>
              <w:bottom w:val="single" w:color="C9D3DB" w:sz="4"/>
              <w:right w:val="single" w:color="C9D3DB" w:sz="4"/>
            </w:tcBorders>
            <w:tcMar>
              <w:top w:type="dxa" w:w="30"/>
              <w:left w:type="dxa" w:w="100"/>
              <w:bottom w:type="dxa" w:w="30"/>
              <w:right w:type="dxa" w:w="80"/>
            </w:tcMar>
          </w:tcPr>
          <w:p>
            <w:pPr>
              <w:spacing w:after="0" w:before="0" w:line="236"/>
            </w:pPr>
            <w:r>
              <w:rPr>
                <w:rFonts w:ascii="Calibri" w:cs="Calibri" w:eastAsia="Calibri" w:hAnsi="Calibri"/>
                <w:sz w:val="25"/>
                <w:szCs w:val="25"/>
              </w:rPr>
              <w:t xml:space="preserve">Multi-agent, explainable: every dollar traced to its clause. Patent angle: compiling contract wording into auditable, executable rules.</w:t>
            </w:r>
          </w:p>
        </w:tc>
      </w:tr>
      <w:tr>
        <w:tc>
          <w:tcPr>
            <w:tcW w:type="dxa" w:w="2300"/>
            <w:tcBorders>
              <w:top w:val="single" w:color="C9D3DB" w:sz="4"/>
              <w:left w:val="single" w:color="C9D3DB" w:sz="4"/>
              <w:bottom w:val="single" w:color="C9D3DB" w:sz="4"/>
              <w:right w:val="single" w:color="C9D3DB" w:sz="4"/>
            </w:tcBorders>
            <w:shd w:fill="EEF3F7" w:color="auto" w:val="clear"/>
            <w:tcMar>
              <w:top w:type="dxa" w:w="30"/>
              <w:left w:type="dxa" w:w="100"/>
              <w:bottom w:type="dxa" w:w="30"/>
              <w:right w:type="dxa" w:w="80"/>
            </w:tcMar>
          </w:tcPr>
          <w:p>
            <w:pPr>
              <w:spacing w:after="0" w:before="0" w:line="252"/>
            </w:pPr>
            <w:r>
              <w:rPr>
                <w:rFonts w:ascii="Calibri" w:cs="Calibri" w:eastAsia="Calibri" w:hAnsi="Calibri"/>
                <w:b/>
                <w:bCs/>
                <w:color w:val="0B4F7C"/>
                <w:sz w:val="25"/>
                <w:szCs w:val="25"/>
              </w:rPr>
              <w:t xml:space="preserve">Hyperscalers &amp; MVP</w:t>
            </w:r>
          </w:p>
        </w:tc>
        <w:tc>
          <w:tcPr>
            <w:tcW w:type="dxa" w:w="8166"/>
            <w:tcBorders>
              <w:top w:val="single" w:color="C9D3DB" w:sz="4"/>
              <w:left w:val="single" w:color="C9D3DB" w:sz="4"/>
              <w:bottom w:val="single" w:color="C9D3DB" w:sz="4"/>
              <w:right w:val="single" w:color="C9D3DB" w:sz="4"/>
            </w:tcBorders>
            <w:tcMar>
              <w:top w:type="dxa" w:w="30"/>
              <w:left w:type="dxa" w:w="100"/>
              <w:bottom w:type="dxa" w:w="30"/>
              <w:right w:type="dxa" w:w="80"/>
            </w:tcMar>
          </w:tcPr>
          <w:p>
            <w:pPr>
              <w:spacing w:after="0" w:before="0" w:line="236"/>
            </w:pPr>
            <w:r>
              <w:rPr>
                <w:rFonts w:ascii="Calibri" w:cs="Calibri" w:eastAsia="Calibri" w:hAnsi="Calibri"/>
                <w:sz w:val="25"/>
                <w:szCs w:val="25"/>
              </w:rPr>
              <w:t xml:space="preserve">Databricks (data, rules) + Azure OpenAI or Anthropic (agents). Built in the EXL sandbox on synthetic treaties and claims.</w:t>
            </w:r>
          </w:p>
        </w:tc>
      </w:tr>
    </w:tbl>
    <w:sectPr>
      <w:pgSz w:w="11906" w:h="16838" w:orient="portrait"/>
      <w:pgMar w:top="600" w:right="720" w:bottom="5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2026-10-15T15:55:42.365Z</dcterms:created>
  <dcterms:modified xsi:type="dcterms:W3CDTF">2026-10-15T15:55:42.366Z</dcterms:modified>
</cp:coreProperties>
</file>

<file path=docProps/custom.xml><?xml version="1.0" encoding="utf-8"?>
<Properties xmlns="http://schemas.openxmlformats.org/officeDocument/2006/custom-properties" xmlns:vt="http://schemas.openxmlformats.org/officeDocument/2006/docPropsVTypes"/>
</file>