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8EFD6" w14:textId="7251E26E" w:rsidR="00735BE9" w:rsidRPr="00457EE8" w:rsidRDefault="0036298B" w:rsidP="0036298B">
      <w:pPr>
        <w:bidi/>
        <w:ind w:left="3540"/>
        <w:jc w:val="both"/>
        <w:rPr>
          <w:rFonts w:ascii="Times New Roman" w:hAnsi="Times New Roman" w:cs="Times New Roman"/>
          <w:sz w:val="56"/>
          <w:szCs w:val="56"/>
          <w:u w:val="single"/>
          <w:rtl/>
        </w:rPr>
      </w:pPr>
      <w:r w:rsidRPr="00457EE8">
        <w:rPr>
          <w:rFonts w:ascii="Times New Roman" w:hAnsi="Times New Roman" w:cs="Times New Roman"/>
          <w:sz w:val="56"/>
          <w:szCs w:val="56"/>
          <w:u w:val="single"/>
          <w:rtl/>
        </w:rPr>
        <w:t xml:space="preserve">אחדות </w:t>
      </w:r>
    </w:p>
    <w:p w14:paraId="4A687C2A" w14:textId="257027CF" w:rsidR="0036298B" w:rsidRPr="00457EE8" w:rsidRDefault="0036298B" w:rsidP="0036298B">
      <w:pPr>
        <w:bidi/>
        <w:jc w:val="both"/>
        <w:rPr>
          <w:rFonts w:ascii="Times New Roman" w:hAnsi="Times New Roman" w:cs="Times New Roman"/>
          <w:sz w:val="28"/>
          <w:szCs w:val="28"/>
          <w:rtl/>
        </w:rPr>
      </w:pPr>
    </w:p>
    <w:p w14:paraId="5AB3EDCA" w14:textId="43B64410" w:rsidR="0036298B" w:rsidRPr="00457EE8" w:rsidRDefault="0036298B" w:rsidP="0036298B">
      <w:pPr>
        <w:bidi/>
        <w:jc w:val="both"/>
        <w:rPr>
          <w:rFonts w:ascii="Times New Roman" w:hAnsi="Times New Roman" w:cs="Times New Roman"/>
          <w:sz w:val="28"/>
          <w:szCs w:val="28"/>
          <w:rtl/>
        </w:rPr>
      </w:pPr>
    </w:p>
    <w:p w14:paraId="346D93BD" w14:textId="7DFFAA4F" w:rsidR="0036298B" w:rsidRPr="00457EE8" w:rsidRDefault="00457EE8" w:rsidP="0036298B">
      <w:pPr>
        <w:bidi/>
        <w:jc w:val="both"/>
        <w:rPr>
          <w:rFonts w:ascii="Times New Roman" w:hAnsi="Times New Roman" w:cs="Times New Roman" w:hint="cs"/>
          <w:sz w:val="36"/>
          <w:szCs w:val="36"/>
          <w:u w:val="single"/>
          <w:rtl/>
          <w:lang w:val="en-US"/>
        </w:rPr>
      </w:pPr>
      <w:r w:rsidRPr="00457EE8">
        <w:rPr>
          <w:rFonts w:ascii="Times New Roman" w:hAnsi="Times New Roman" w:cs="Times New Roman" w:hint="cs"/>
          <w:sz w:val="36"/>
          <w:szCs w:val="36"/>
          <w:u w:val="single"/>
          <w:rtl/>
        </w:rPr>
        <w:t>מי יכול ליצור קשר עם אנשים</w:t>
      </w:r>
      <w:r w:rsidRPr="00457EE8">
        <w:rPr>
          <w:rFonts w:ascii="Times New Roman" w:hAnsi="Times New Roman" w:cs="Times New Roman" w:hint="cs"/>
          <w:sz w:val="36"/>
          <w:szCs w:val="36"/>
          <w:rtl/>
          <w:lang w:val="en-US"/>
        </w:rPr>
        <w:t>?</w:t>
      </w:r>
    </w:p>
    <w:p w14:paraId="425DDFF2" w14:textId="28E63DEE" w:rsidR="0036298B" w:rsidRPr="00457EE8" w:rsidRDefault="0036298B" w:rsidP="0036298B">
      <w:pPr>
        <w:bidi/>
        <w:jc w:val="both"/>
        <w:rPr>
          <w:rFonts w:ascii="Times New Roman" w:hAnsi="Times New Roman" w:cs="Times New Roman"/>
          <w:sz w:val="28"/>
          <w:szCs w:val="28"/>
          <w:rtl/>
        </w:rPr>
      </w:pPr>
      <w:r w:rsidRPr="00457EE8">
        <w:rPr>
          <w:rFonts w:ascii="Times New Roman" w:hAnsi="Times New Roman" w:cs="Times New Roman"/>
          <w:sz w:val="28"/>
          <w:szCs w:val="28"/>
          <w:rtl/>
        </w:rPr>
        <w:t xml:space="preserve">עי' בספר </w:t>
      </w:r>
      <w:r w:rsidRPr="00457EE8">
        <w:rPr>
          <w:rFonts w:ascii="Times New Roman" w:hAnsi="Times New Roman" w:cs="Times New Roman"/>
          <w:b/>
          <w:bCs/>
          <w:sz w:val="28"/>
          <w:szCs w:val="28"/>
          <w:rtl/>
        </w:rPr>
        <w:t>עלי שור</w:t>
      </w:r>
      <w:r w:rsidR="00CC66BF" w:rsidRPr="00457EE8">
        <w:rPr>
          <w:rFonts w:ascii="Times New Roman" w:hAnsi="Times New Roman" w:cs="Times New Roman"/>
          <w:b/>
          <w:bCs/>
          <w:sz w:val="28"/>
          <w:szCs w:val="28"/>
          <w:rtl/>
        </w:rPr>
        <w:t xml:space="preserve"> </w:t>
      </w:r>
      <w:r w:rsidRPr="00457EE8">
        <w:rPr>
          <w:rFonts w:ascii="Times New Roman" w:hAnsi="Times New Roman" w:cs="Times New Roman"/>
          <w:sz w:val="24"/>
          <w:szCs w:val="24"/>
          <w:rtl/>
        </w:rPr>
        <w:t xml:space="preserve">(ח''א עמ' קמח) </w:t>
      </w:r>
      <w:r w:rsidRPr="00457EE8">
        <w:rPr>
          <w:rFonts w:ascii="Times New Roman" w:hAnsi="Times New Roman" w:cs="Times New Roman"/>
          <w:sz w:val="28"/>
          <w:szCs w:val="28"/>
          <w:rtl/>
        </w:rPr>
        <w:t xml:space="preserve">שאומר ''קשר וקירוב ייתכן רק באדם אשר נפשו פתוחה להרגשת הזולת''. </w:t>
      </w:r>
    </w:p>
    <w:p w14:paraId="6AC9869C" w14:textId="77777777" w:rsidR="0036298B" w:rsidRDefault="0036298B">
      <w:pPr>
        <w:bidi/>
        <w:jc w:val="both"/>
        <w:rPr>
          <w:rFonts w:ascii="Times New Roman" w:hAnsi="Times New Roman" w:cs="Times New Roman"/>
          <w:sz w:val="28"/>
          <w:szCs w:val="28"/>
          <w:rtl/>
        </w:rPr>
      </w:pPr>
    </w:p>
    <w:p w14:paraId="5EAF1572" w14:textId="69692619" w:rsidR="00457EE8" w:rsidRPr="00457EE8" w:rsidRDefault="00457EE8" w:rsidP="00457EE8">
      <w:pPr>
        <w:bidi/>
        <w:jc w:val="both"/>
        <w:rPr>
          <w:rFonts w:ascii="Times New Roman" w:hAnsi="Times New Roman" w:cs="Times New Roman"/>
          <w:sz w:val="36"/>
          <w:szCs w:val="36"/>
          <w:u w:val="single"/>
          <w:rtl/>
        </w:rPr>
      </w:pPr>
      <w:r w:rsidRPr="00457EE8">
        <w:rPr>
          <w:rFonts w:ascii="Times New Roman" w:hAnsi="Times New Roman" w:cs="Times New Roman" w:hint="cs"/>
          <w:sz w:val="36"/>
          <w:szCs w:val="36"/>
          <w:u w:val="single"/>
          <w:rtl/>
        </w:rPr>
        <w:t>כאיש אחד בלב אחד</w:t>
      </w:r>
    </w:p>
    <w:p w14:paraId="28AB97A5" w14:textId="71F9782F" w:rsidR="00457EE8" w:rsidRPr="00457EE8" w:rsidRDefault="00457EE8" w:rsidP="00457EE8">
      <w:pPr>
        <w:bidi/>
        <w:jc w:val="both"/>
        <w:rPr>
          <w:rFonts w:ascii="Times New Roman" w:hAnsi="Times New Roman" w:cs="Times New Roman" w:hint="cs"/>
          <w:sz w:val="28"/>
          <w:szCs w:val="28"/>
        </w:rPr>
      </w:pPr>
      <w:r>
        <w:rPr>
          <w:rFonts w:ascii="Times New Roman" w:hAnsi="Times New Roman" w:cs="Times New Roman" w:hint="cs"/>
          <w:sz w:val="28"/>
          <w:szCs w:val="28"/>
          <w:rtl/>
        </w:rPr>
        <w:t xml:space="preserve">כותב </w:t>
      </w:r>
      <w:r w:rsidRPr="00457EE8">
        <w:rPr>
          <w:rFonts w:ascii="Times New Roman" w:hAnsi="Times New Roman" w:cs="Times New Roman" w:hint="cs"/>
          <w:b/>
          <w:bCs/>
          <w:sz w:val="28"/>
          <w:szCs w:val="28"/>
          <w:rtl/>
        </w:rPr>
        <w:t>ה</w:t>
      </w:r>
      <w:r w:rsidRPr="00457EE8">
        <w:rPr>
          <w:rFonts w:ascii="Times New Roman" w:hAnsi="Times New Roman" w:cs="Times New Roman"/>
          <w:b/>
          <w:bCs/>
          <w:sz w:val="28"/>
          <w:szCs w:val="28"/>
          <w:rtl/>
        </w:rPr>
        <w:t>פחד יצחק</w:t>
      </w:r>
      <w:r w:rsidRPr="00457EE8">
        <w:rPr>
          <w:rFonts w:ascii="Times New Roman" w:hAnsi="Times New Roman" w:cs="Times New Roman"/>
          <w:sz w:val="28"/>
          <w:szCs w:val="28"/>
          <w:rtl/>
        </w:rPr>
        <w:t xml:space="preserve"> </w:t>
      </w:r>
      <w:r w:rsidRPr="00457EE8">
        <w:rPr>
          <w:rFonts w:ascii="Times New Roman" w:hAnsi="Times New Roman" w:cs="Times New Roman" w:hint="cs"/>
          <w:sz w:val="24"/>
          <w:szCs w:val="24"/>
          <w:rtl/>
        </w:rPr>
        <w:t>(</w:t>
      </w:r>
      <w:r w:rsidRPr="00457EE8">
        <w:rPr>
          <w:rFonts w:ascii="Times New Roman" w:hAnsi="Times New Roman" w:cs="Times New Roman"/>
          <w:sz w:val="24"/>
          <w:szCs w:val="24"/>
          <w:rtl/>
        </w:rPr>
        <w:t>פסח - מאמרים מאמר מא אות א</w:t>
      </w:r>
      <w:r w:rsidRPr="00457EE8">
        <w:rPr>
          <w:rFonts w:ascii="Times New Roman" w:hAnsi="Times New Roman" w:cs="Times New Roman" w:hint="cs"/>
          <w:sz w:val="24"/>
          <w:szCs w:val="24"/>
          <w:rtl/>
        </w:rPr>
        <w:t xml:space="preserve">) </w:t>
      </w:r>
      <w:r>
        <w:rPr>
          <w:rFonts w:ascii="Times New Roman" w:hAnsi="Times New Roman" w:cs="Times New Roman" w:hint="cs"/>
          <w:sz w:val="28"/>
          <w:szCs w:val="28"/>
          <w:rtl/>
        </w:rPr>
        <w:t>''</w:t>
      </w:r>
      <w:r w:rsidRPr="00457EE8">
        <w:rPr>
          <w:rFonts w:ascii="Times New Roman" w:hAnsi="Times New Roman" w:cs="Times New Roman"/>
          <w:sz w:val="28"/>
          <w:szCs w:val="28"/>
          <w:rtl/>
        </w:rPr>
        <w:t>ויחן ישראל נגד הה</w:t>
      </w:r>
      <w:r>
        <w:rPr>
          <w:rFonts w:ascii="Times New Roman" w:hAnsi="Times New Roman" w:cs="Times New Roman" w:hint="cs"/>
          <w:sz w:val="28"/>
          <w:szCs w:val="28"/>
          <w:rtl/>
        </w:rPr>
        <w:t>ר</w:t>
      </w:r>
      <w:r w:rsidRPr="00457EE8">
        <w:rPr>
          <w:rFonts w:ascii="Times New Roman" w:hAnsi="Times New Roman" w:cs="Times New Roman"/>
          <w:sz w:val="28"/>
          <w:szCs w:val="28"/>
          <w:rtl/>
        </w:rPr>
        <w:t>. ובא על זה הבאור בלשונם של חכמים כאיש אחד בלב אחד. ולשון חכמים מרפא, שלענין נסיעת מצרים על הים אמרו בלב אחד כאיש אחד, ואילו לענין חניית ישראל סדר הדברים הפוך הוא: כאיש אחד בלב אחד. ובודאי שראוי להתעורר על שינוי זה בלשון חכמים. אלא שמשל למה הדבר דומה, למי שאומר כי מכיון שידו הימנית וידו השמאלית של ראובן שייכים הם לאיש אחד, לכן כל מה שהיד הימנית רוצה גם יד השמאלית רוצה. ואילו כשהמדובר הוא בשני אנשים נפרדים, אז סדר המאמר היא להפך, מכיון שגם ראובן וגם שמעון רוצים אותו הדבר לכן השתתפו יחד. ולהכי הרי ישראל נמצאים תמיד בסוד האחדות, וכלליות כנסת ישראל אינה אלא קומה אחת, ממילא כשהם חונים בלשון יחיד, הכונה היא דמשום שהם כאיש אחד, והיחידים שבהם הם כמו יד הימין ויד השמאל של גוף אחד, לכן הם בלב אחד וכולם רוצים בחני' זו של הר סיני. ויחן ישראל כאיש אחד בלב אחד. שאני מצרים שהם עומדים תמיד בסוד הפירוד, יתפרדו כל פעלי אבן, לתאוה יבקש נפרד, ולכן כשהם נוסעים בלשון יחיד, הכונה היא כי משום שהם כולם רוצים בנסיעה זו של רדיפה אחרי ישראל, לכן השתתפו כולם לדבר אחד, והרי הם בלב אחד כאיש אחד. ולשון חכמים מרפא</w:t>
      </w:r>
      <w:r>
        <w:rPr>
          <w:rFonts w:ascii="Times New Roman" w:hAnsi="Times New Roman" w:cs="Times New Roman" w:hint="cs"/>
          <w:sz w:val="28"/>
          <w:szCs w:val="28"/>
          <w:rtl/>
        </w:rPr>
        <w:t>''..</w:t>
      </w:r>
    </w:p>
    <w:sectPr w:rsidR="00457EE8" w:rsidRPr="00457EE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298B"/>
    <w:rsid w:val="0036298B"/>
    <w:rsid w:val="00457EE8"/>
    <w:rsid w:val="00735BE9"/>
    <w:rsid w:val="008279C0"/>
    <w:rsid w:val="00CC66BF"/>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698BC"/>
  <w15:chartTrackingRefBased/>
  <w15:docId w15:val="{9899214F-69BE-43F5-AF4B-FD5B546BD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187</Words>
  <Characters>1030</Characters>
  <Application>Microsoft Office Word</Application>
  <DocSecurity>0</DocSecurity>
  <Lines>8</Lines>
  <Paragraphs>2</Paragraphs>
  <ScaleCrop>false</ScaleCrop>
  <Company/>
  <LinksUpToDate>false</LinksUpToDate>
  <CharactersWithSpaces>1215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binyamin</cp:lastModifiedBy>
  <cp:revision>5</cp:revision>
  <dcterms:created xsi:type="dcterms:W3CDTF">2022-02-16T07:24:00Z</dcterms:created>
  <dcterms:modified xsi:type="dcterms:W3CDTF">2025-02-05T07:17:00Z</dcterms:modified>
</cp:coreProperties>
</file>