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FF6B" w14:textId="223C7124" w:rsidR="001D2779" w:rsidRPr="00605742" w:rsidRDefault="002E5B3A" w:rsidP="000B3669">
      <w:pPr>
        <w:bidi/>
        <w:ind w:left="3540"/>
        <w:jc w:val="both"/>
        <w:rPr>
          <w:rFonts w:asciiTheme="majorBidi" w:hAnsiTheme="majorBidi" w:cstheme="majorBidi"/>
          <w:sz w:val="56"/>
          <w:szCs w:val="56"/>
          <w:u w:val="single"/>
          <w:rtl/>
        </w:rPr>
      </w:pPr>
      <w:r w:rsidRPr="00605742">
        <w:rPr>
          <w:rFonts w:asciiTheme="majorBidi" w:hAnsiTheme="majorBidi" w:cstheme="majorBidi"/>
          <w:sz w:val="56"/>
          <w:szCs w:val="56"/>
          <w:u w:val="single"/>
          <w:rtl/>
        </w:rPr>
        <w:t>ברכה</w:t>
      </w:r>
    </w:p>
    <w:p w14:paraId="03CD2735" w14:textId="7065C769" w:rsidR="002E5B3A" w:rsidRPr="00605742" w:rsidRDefault="002E5B3A" w:rsidP="002E5B3A">
      <w:pPr>
        <w:bidi/>
        <w:jc w:val="both"/>
        <w:rPr>
          <w:rFonts w:asciiTheme="majorBidi" w:hAnsiTheme="majorBidi" w:cstheme="majorBidi"/>
          <w:sz w:val="28"/>
          <w:szCs w:val="28"/>
          <w:rtl/>
        </w:rPr>
      </w:pPr>
    </w:p>
    <w:p w14:paraId="0B9FF8F7" w14:textId="131ECBEA" w:rsidR="002E5B3A" w:rsidRPr="00605742" w:rsidRDefault="002E5B3A" w:rsidP="002E5B3A">
      <w:pPr>
        <w:bidi/>
        <w:jc w:val="both"/>
        <w:rPr>
          <w:rFonts w:asciiTheme="majorBidi" w:hAnsiTheme="majorBidi" w:cstheme="majorBidi"/>
          <w:sz w:val="28"/>
          <w:szCs w:val="28"/>
          <w:rtl/>
        </w:rPr>
      </w:pPr>
    </w:p>
    <w:p w14:paraId="7B39E6B6" w14:textId="5ECF1FAA" w:rsidR="002E5B3A" w:rsidRPr="00605742" w:rsidRDefault="002E5B3A" w:rsidP="002E5B3A">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עי' </w:t>
      </w:r>
      <w:r w:rsidRPr="00605742">
        <w:rPr>
          <w:rFonts w:asciiTheme="majorBidi" w:hAnsiTheme="majorBidi" w:cstheme="majorBidi"/>
          <w:b/>
          <w:bCs/>
          <w:sz w:val="28"/>
          <w:szCs w:val="28"/>
          <w:rtl/>
        </w:rPr>
        <w:t>ראש השנה</w:t>
      </w:r>
      <w:r w:rsidRPr="00605742">
        <w:rPr>
          <w:rFonts w:asciiTheme="majorBidi" w:hAnsiTheme="majorBidi" w:cstheme="majorBidi"/>
          <w:sz w:val="28"/>
          <w:szCs w:val="28"/>
          <w:rtl/>
        </w:rPr>
        <w:t xml:space="preserve"> </w:t>
      </w:r>
      <w:r w:rsidRPr="00605742">
        <w:rPr>
          <w:rFonts w:asciiTheme="majorBidi" w:hAnsiTheme="majorBidi" w:cstheme="majorBidi"/>
          <w:sz w:val="24"/>
          <w:szCs w:val="24"/>
          <w:rtl/>
        </w:rPr>
        <w:t xml:space="preserve">(דף טז.) </w:t>
      </w:r>
      <w:r w:rsidRPr="00605742">
        <w:rPr>
          <w:rFonts w:asciiTheme="majorBidi" w:hAnsiTheme="majorBidi" w:cstheme="majorBidi"/>
          <w:sz w:val="28"/>
          <w:szCs w:val="28"/>
          <w:rtl/>
        </w:rPr>
        <w:t xml:space="preserve">''תניא </w:t>
      </w:r>
      <w:r w:rsidRPr="00605742">
        <w:rPr>
          <w:rFonts w:asciiTheme="majorBidi" w:hAnsiTheme="majorBidi" w:cstheme="majorBidi"/>
          <w:b/>
          <w:bCs/>
          <w:sz w:val="28"/>
          <w:szCs w:val="28"/>
          <w:rtl/>
        </w:rPr>
        <w:t>א''ר יהודה</w:t>
      </w:r>
      <w:r w:rsidRPr="00605742">
        <w:rPr>
          <w:rFonts w:asciiTheme="majorBidi" w:hAnsiTheme="majorBidi" w:cstheme="majorBidi"/>
          <w:sz w:val="28"/>
          <w:szCs w:val="28"/>
          <w:rtl/>
        </w:rPr>
        <w:t xml:space="preserve"> משום </w:t>
      </w:r>
      <w:r w:rsidRPr="00605742">
        <w:rPr>
          <w:rFonts w:asciiTheme="majorBidi" w:hAnsiTheme="majorBidi" w:cstheme="majorBidi"/>
          <w:b/>
          <w:bCs/>
          <w:sz w:val="28"/>
          <w:szCs w:val="28"/>
          <w:rtl/>
        </w:rPr>
        <w:t>ר''ע</w:t>
      </w:r>
      <w:r w:rsidRPr="00605742">
        <w:rPr>
          <w:rFonts w:asciiTheme="majorBidi" w:hAnsiTheme="majorBidi" w:cstheme="majorBidi"/>
          <w:sz w:val="28"/>
          <w:szCs w:val="28"/>
          <w:rtl/>
        </w:rPr>
        <w:t xml:space="preserve"> מפני מה אמרה תורה הביאו עומר בפסח מפני שהפסח זמן תבואה הוא אמר הקב''ה הביאו לפני עומר בפסח כדי שתתברך לכם תבואה שבשדות ומפני מה אמרה תורה הביאו שתי הלחם בעצרת מפני שעצרת זמן פירות האילן הוא אמר הקב''ה הביאו לפני שתי הלחם בעצרת כדי שיתברכו לכם פירות האילן ומפני מה אמרה תורה נסכו מים בחג אמר הקדוש ברוך הוא נסכו לפני מים בחג כדי שיתברכו לכם גשמי שנה''.</w:t>
      </w:r>
    </w:p>
    <w:p w14:paraId="4AFEB132" w14:textId="6EA4043A" w:rsidR="00BA4D06" w:rsidRDefault="00BA4D06" w:rsidP="00BA4D06">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רואים שאם צריך שיהיה ברכה בדבר מסויים, צריך לעשות מצוות בדבר הזה, וכן צריך לפרש מה שאמרו ''עשר בשביל שתתעשר''. </w:t>
      </w:r>
    </w:p>
    <w:p w14:paraId="3EE43827" w14:textId="777BFC80" w:rsidR="001305BC" w:rsidRPr="00605742" w:rsidRDefault="001305BC" w:rsidP="001305BC">
      <w:pPr>
        <w:bidi/>
        <w:jc w:val="both"/>
        <w:rPr>
          <w:rFonts w:asciiTheme="majorBidi" w:hAnsiTheme="majorBidi" w:cstheme="majorBidi"/>
          <w:sz w:val="28"/>
          <w:szCs w:val="28"/>
          <w:rtl/>
        </w:rPr>
      </w:pPr>
      <w:r>
        <w:rPr>
          <w:rFonts w:asciiTheme="majorBidi" w:hAnsiTheme="majorBidi" w:cstheme="majorBidi" w:hint="cs"/>
          <w:sz w:val="28"/>
          <w:szCs w:val="28"/>
          <w:rtl/>
        </w:rPr>
        <w:t>וכן מבואר בפסחים (דף מ)</w:t>
      </w:r>
    </w:p>
    <w:p w14:paraId="5ECB2769" w14:textId="77777777" w:rsidR="00B01A51" w:rsidRPr="00605742" w:rsidRDefault="00B01A51" w:rsidP="00B01A51">
      <w:pPr>
        <w:bidi/>
        <w:jc w:val="both"/>
        <w:rPr>
          <w:rFonts w:asciiTheme="majorBidi" w:hAnsiTheme="majorBidi" w:cstheme="majorBidi"/>
          <w:sz w:val="28"/>
          <w:szCs w:val="28"/>
          <w:rtl/>
        </w:rPr>
      </w:pPr>
    </w:p>
    <w:p w14:paraId="25430FFF" w14:textId="4DE17ED2" w:rsidR="00B01A51" w:rsidRPr="00605742" w:rsidRDefault="00B01A51" w:rsidP="00B01A51">
      <w:pPr>
        <w:bidi/>
        <w:jc w:val="both"/>
        <w:rPr>
          <w:rFonts w:asciiTheme="majorBidi" w:hAnsiTheme="majorBidi" w:cstheme="majorBidi"/>
          <w:sz w:val="36"/>
          <w:szCs w:val="36"/>
          <w:u w:val="single"/>
          <w:rtl/>
        </w:rPr>
      </w:pPr>
      <w:r w:rsidRPr="00605742">
        <w:rPr>
          <w:rFonts w:asciiTheme="majorBidi" w:hAnsiTheme="majorBidi" w:cstheme="majorBidi"/>
          <w:sz w:val="36"/>
          <w:szCs w:val="36"/>
          <w:u w:val="single"/>
          <w:rtl/>
        </w:rPr>
        <w:t>אשר סר מן הדרך אין בו ברכה</w:t>
      </w:r>
    </w:p>
    <w:p w14:paraId="7CA78836" w14:textId="77777777" w:rsidR="00B01A51" w:rsidRPr="00605742" w:rsidRDefault="00B01A51" w:rsidP="00B01A51">
      <w:pPr>
        <w:bidi/>
        <w:spacing w:after="200" w:line="276" w:lineRule="auto"/>
        <w:jc w:val="both"/>
        <w:rPr>
          <w:rFonts w:asciiTheme="majorBidi" w:eastAsia="Rockwell" w:hAnsiTheme="majorBidi" w:cstheme="majorBidi"/>
          <w:sz w:val="28"/>
          <w:szCs w:val="28"/>
          <w:lang w:val="en-US"/>
        </w:rPr>
      </w:pPr>
      <w:r w:rsidRPr="00605742">
        <w:rPr>
          <w:rFonts w:asciiTheme="majorBidi" w:eastAsia="Rockwell" w:hAnsiTheme="majorBidi" w:cstheme="majorBidi"/>
          <w:sz w:val="28"/>
          <w:szCs w:val="28"/>
          <w:rtl/>
          <w:lang w:val="en-US"/>
        </w:rPr>
        <w:t xml:space="preserve">עי' בחידושי אגדות </w:t>
      </w:r>
      <w:r w:rsidRPr="00605742">
        <w:rPr>
          <w:rFonts w:asciiTheme="majorBidi" w:eastAsia="Rockwell" w:hAnsiTheme="majorBidi" w:cstheme="majorBidi"/>
          <w:b/>
          <w:bCs/>
          <w:sz w:val="28"/>
          <w:szCs w:val="28"/>
          <w:rtl/>
          <w:lang w:val="en-US"/>
        </w:rPr>
        <w:t>למהר"ל</w:t>
      </w:r>
      <w:r w:rsidRPr="00605742">
        <w:rPr>
          <w:rFonts w:asciiTheme="majorBidi" w:eastAsia="Rockwell" w:hAnsiTheme="majorBidi" w:cstheme="majorBidi"/>
          <w:sz w:val="28"/>
          <w:szCs w:val="28"/>
          <w:rtl/>
          <w:lang w:val="en-US"/>
        </w:rPr>
        <w:t xml:space="preserve"> על מס' </w:t>
      </w:r>
      <w:r w:rsidRPr="00605742">
        <w:rPr>
          <w:rFonts w:asciiTheme="majorBidi" w:eastAsia="Rockwell" w:hAnsiTheme="majorBidi" w:cstheme="majorBidi"/>
          <w:b/>
          <w:bCs/>
          <w:sz w:val="28"/>
          <w:szCs w:val="28"/>
          <w:rtl/>
          <w:lang w:val="en-US"/>
        </w:rPr>
        <w:t>סוטה</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(דף ג:) </w:t>
      </w:r>
      <w:r w:rsidRPr="00605742">
        <w:rPr>
          <w:rFonts w:asciiTheme="majorBidi" w:eastAsia="Rockwell" w:hAnsiTheme="majorBidi" w:cstheme="majorBidi"/>
          <w:sz w:val="28"/>
          <w:szCs w:val="28"/>
          <w:rtl/>
          <w:lang w:val="en-US"/>
        </w:rPr>
        <w:t>על מה שהגמ' אומרת ''א''ר חסדא זנותא בביתא כי קריא לשומשמא וא''ר חסדא תוקפא בביתא כי קריא לשומשמא אידי ואידי באיתתא אבל בגברא לית לן בה'' שכותב</w:t>
      </w:r>
      <w:r w:rsidRPr="00605742">
        <w:rPr>
          <w:rFonts w:asciiTheme="majorBidi" w:eastAsia="Rockwell" w:hAnsiTheme="majorBidi" w:cstheme="majorBidi"/>
          <w:sz w:val="28"/>
          <w:szCs w:val="28"/>
          <w:rtl/>
          <w:lang w:val="en-US" w:bidi="en-US"/>
        </w:rPr>
        <w:t xml:space="preserve"> ''</w:t>
      </w:r>
      <w:r w:rsidRPr="00605742">
        <w:rPr>
          <w:rFonts w:asciiTheme="majorBidi" w:eastAsia="Rockwell" w:hAnsiTheme="majorBidi" w:cstheme="majorBidi"/>
          <w:sz w:val="28"/>
          <w:szCs w:val="28"/>
          <w:rtl/>
          <w:lang w:val="en-US"/>
        </w:rPr>
        <w:t>פי' כי הזנות גורם שאין ברכה בבית כלל, וזה כי כל זנות היא הסרה ונטיה מן הדרך, כי זה לשון סוטה שהוא סטה מן הדרך ואשר סר מן הדרך אין מקבל ברכה. והוסיף רב פפא אף תוקפא הוא הסרה מן הסדר, וכל אשר הוא הסרה מן הסדר אין [בו] ברכה. ולכך הוציא רב פפא בזה הכעס בלשון תוקפא, כי כשם שהזנות הוא יוצא לקצה אחד, התוקפה הוא הפך זה כנגדו ושניהם יוצאים מן הסדר, ואשר יוצא מן הסדר אין ברכה כלל. ותדע כי הזנות הוא שנוטה אחר הגוף ותאותיו והכעס הוא פעל הנפש כאשר יוצא מן השעור על ידי הזנות מצד אחד, ושניהם מסלקים הברכה מן הבית כי הבית מוכן הוא לברכה, שנאמר (יחזקאל מ"ד) להניח ברכה תוך ביתך, ואלו שני דברים נוטים אל ההעדר והקללה והבן זה מאוד''.</w:t>
      </w:r>
    </w:p>
    <w:p w14:paraId="59601085" w14:textId="77777777" w:rsidR="00805C8B" w:rsidRPr="00605742" w:rsidRDefault="00805C8B" w:rsidP="00805C8B">
      <w:pPr>
        <w:bidi/>
        <w:spacing w:after="200" w:line="276" w:lineRule="auto"/>
        <w:jc w:val="both"/>
        <w:rPr>
          <w:rFonts w:asciiTheme="majorBidi" w:eastAsia="Rockwell" w:hAnsiTheme="majorBidi" w:cstheme="majorBidi"/>
          <w:sz w:val="28"/>
          <w:szCs w:val="28"/>
          <w:lang w:val="en-US"/>
        </w:rPr>
      </w:pPr>
    </w:p>
    <w:p w14:paraId="1175229D" w14:textId="772D92AF" w:rsidR="00805C8B" w:rsidRPr="00605742" w:rsidRDefault="00805C8B" w:rsidP="00805C8B">
      <w:pPr>
        <w:bidi/>
        <w:spacing w:after="200" w:line="276" w:lineRule="auto"/>
        <w:jc w:val="both"/>
        <w:rPr>
          <w:rFonts w:asciiTheme="majorBidi" w:eastAsia="Rockwell" w:hAnsiTheme="majorBidi" w:cstheme="majorBidi"/>
          <w:sz w:val="36"/>
          <w:szCs w:val="36"/>
          <w:u w:val="single"/>
          <w:rtl/>
          <w:lang w:val="en-US"/>
        </w:rPr>
      </w:pPr>
      <w:r w:rsidRPr="00605742">
        <w:rPr>
          <w:rFonts w:asciiTheme="majorBidi" w:eastAsia="Rockwell" w:hAnsiTheme="majorBidi" w:cstheme="majorBidi"/>
          <w:sz w:val="36"/>
          <w:szCs w:val="36"/>
          <w:u w:val="single"/>
          <w:rtl/>
          <w:lang w:val="en-US"/>
        </w:rPr>
        <w:t>למי יש יותר ברכה לאיש או לאשה</w:t>
      </w:r>
    </w:p>
    <w:p w14:paraId="2E913DB7" w14:textId="78EEC5D6" w:rsidR="00805C8B" w:rsidRPr="00605742" w:rsidRDefault="00805C8B" w:rsidP="00805C8B">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 xml:space="preserve">שואל </w:t>
      </w:r>
      <w:r w:rsidRPr="00605742">
        <w:rPr>
          <w:rFonts w:asciiTheme="majorBidi" w:eastAsia="Rockwell" w:hAnsiTheme="majorBidi" w:cstheme="majorBidi"/>
          <w:b/>
          <w:bCs/>
          <w:sz w:val="28"/>
          <w:szCs w:val="28"/>
          <w:rtl/>
          <w:lang w:val="en-US"/>
        </w:rPr>
        <w:t>הפתח עינים</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(נדה לא:) </w:t>
      </w:r>
      <w:r w:rsidRPr="00605742">
        <w:rPr>
          <w:rFonts w:asciiTheme="majorBidi" w:eastAsia="Rockwell" w:hAnsiTheme="majorBidi" w:cstheme="majorBidi"/>
          <w:sz w:val="28"/>
          <w:szCs w:val="28"/>
          <w:rtl/>
          <w:lang w:val="en-US"/>
        </w:rPr>
        <w:t xml:space="preserve">שמחד גיסא רואים שיש ברכה לאיש כמו: </w:t>
      </w:r>
    </w:p>
    <w:p w14:paraId="14F96D3A" w14:textId="6B52ABC0" w:rsidR="00805C8B" w:rsidRPr="00605742" w:rsidRDefault="00805C8B" w:rsidP="00805C8B">
      <w:pPr>
        <w:pStyle w:val="Paragraphedeliste"/>
        <w:numPr>
          <w:ilvl w:val="0"/>
          <w:numId w:val="1"/>
        </w:num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b/>
          <w:bCs/>
          <w:sz w:val="28"/>
          <w:szCs w:val="28"/>
          <w:rtl/>
          <w:lang w:val="en-US"/>
        </w:rPr>
        <w:t>בנדה</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(דף לא:) </w:t>
      </w:r>
      <w:r w:rsidRPr="00605742">
        <w:rPr>
          <w:rFonts w:asciiTheme="majorBidi" w:eastAsia="Rockwell" w:hAnsiTheme="majorBidi" w:cstheme="majorBidi"/>
          <w:sz w:val="28"/>
          <w:szCs w:val="28"/>
          <w:rtl/>
          <w:lang w:val="en-US"/>
        </w:rPr>
        <w:t xml:space="preserve">''ואמר </w:t>
      </w:r>
      <w:r w:rsidRPr="00605742">
        <w:rPr>
          <w:rFonts w:asciiTheme="majorBidi" w:eastAsia="Rockwell" w:hAnsiTheme="majorBidi" w:cstheme="majorBidi"/>
          <w:b/>
          <w:bCs/>
          <w:sz w:val="28"/>
          <w:szCs w:val="28"/>
          <w:rtl/>
          <w:lang w:val="en-US"/>
        </w:rPr>
        <w:t>ר' יצחק דבי רבי אמי</w:t>
      </w:r>
      <w:r w:rsidRPr="00605742">
        <w:rPr>
          <w:rFonts w:asciiTheme="majorBidi" w:eastAsia="Rockwell" w:hAnsiTheme="majorBidi" w:cstheme="majorBidi"/>
          <w:sz w:val="28"/>
          <w:szCs w:val="28"/>
          <w:rtl/>
          <w:lang w:val="en-US"/>
        </w:rPr>
        <w:t xml:space="preserve"> בא זכר בעולם בא ככרו בידו זכר זה כר דכתיב ויכרה להם כירה גדולה נקבה אין עמה כלום נקבה נקייה באה עד דאמרה מזוני לא יהבי לה דכתיב נקבה שכרך עלי ואתנה''</w:t>
      </w:r>
    </w:p>
    <w:p w14:paraId="3FDFFFB8" w14:textId="77777777" w:rsidR="00805C8B" w:rsidRPr="00605742" w:rsidRDefault="00805C8B" w:rsidP="00805C8B">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 xml:space="preserve">ומאידך רואים שיש ברכה באשה </w:t>
      </w:r>
    </w:p>
    <w:p w14:paraId="0F6211C9" w14:textId="32AEDF17" w:rsidR="00805C8B" w:rsidRPr="00605742" w:rsidRDefault="00805C8B" w:rsidP="00805C8B">
      <w:pPr>
        <w:pStyle w:val="Paragraphedeliste"/>
        <w:numPr>
          <w:ilvl w:val="0"/>
          <w:numId w:val="1"/>
        </w:num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b/>
          <w:bCs/>
          <w:sz w:val="28"/>
          <w:szCs w:val="28"/>
          <w:rtl/>
          <w:lang w:val="en-US"/>
        </w:rPr>
        <w:lastRenderedPageBreak/>
        <w:t>בב''מ</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(דף נט.) </w:t>
      </w:r>
      <w:r w:rsidRPr="00605742">
        <w:rPr>
          <w:rFonts w:asciiTheme="majorBidi" w:eastAsia="Rockwell" w:hAnsiTheme="majorBidi" w:cstheme="majorBidi"/>
          <w:sz w:val="28"/>
          <w:szCs w:val="28"/>
          <w:rtl/>
          <w:lang w:val="en-US"/>
        </w:rPr>
        <w:t>''</w:t>
      </w:r>
      <w:r w:rsidRPr="00605742">
        <w:rPr>
          <w:rFonts w:asciiTheme="majorBidi" w:eastAsia="Rockwell" w:hAnsiTheme="majorBidi" w:cstheme="majorBidi"/>
          <w:b/>
          <w:bCs/>
          <w:sz w:val="28"/>
          <w:szCs w:val="28"/>
          <w:rtl/>
          <w:lang w:val="en-US"/>
        </w:rPr>
        <w:t>(וא''ר)</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b/>
          <w:bCs/>
          <w:sz w:val="28"/>
          <w:szCs w:val="28"/>
          <w:rtl/>
          <w:lang w:val="en-US"/>
        </w:rPr>
        <w:t>חלבו</w:t>
      </w:r>
      <w:r w:rsidRPr="00605742">
        <w:rPr>
          <w:rFonts w:asciiTheme="majorBidi" w:eastAsia="Rockwell" w:hAnsiTheme="majorBidi" w:cstheme="majorBidi"/>
          <w:sz w:val="28"/>
          <w:szCs w:val="28"/>
          <w:rtl/>
          <w:lang w:val="en-US"/>
        </w:rPr>
        <w:t xml:space="preserve"> לעולם יהא אדם זהיר בכבוד אשתו שאין ברכה מצויה בתוך ביתו של אדם אלא בשביל אשתו שנאמר ולאברם הטיב בעבורה''.</w:t>
      </w:r>
    </w:p>
    <w:p w14:paraId="4050FAA0" w14:textId="2C784671" w:rsidR="00805C8B" w:rsidRPr="00605742" w:rsidRDefault="00805C8B" w:rsidP="00805C8B">
      <w:pPr>
        <w:pStyle w:val="Paragraphedeliste"/>
        <w:numPr>
          <w:ilvl w:val="0"/>
          <w:numId w:val="1"/>
        </w:num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b/>
          <w:bCs/>
          <w:sz w:val="28"/>
          <w:szCs w:val="28"/>
          <w:rtl/>
          <w:lang w:val="en-US"/>
        </w:rPr>
        <w:t>ביבמות</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(דף סב:)</w:t>
      </w:r>
      <w:r w:rsidRPr="00605742">
        <w:rPr>
          <w:rFonts w:asciiTheme="majorBidi" w:eastAsia="Rockwell" w:hAnsiTheme="majorBidi" w:cstheme="majorBidi"/>
          <w:sz w:val="24"/>
          <w:szCs w:val="24"/>
        </w:rPr>
        <w:t xml:space="preserve"> </w:t>
      </w:r>
      <w:r w:rsidRPr="00605742">
        <w:rPr>
          <w:rFonts w:asciiTheme="majorBidi" w:eastAsia="Rockwell" w:hAnsiTheme="majorBidi" w:cstheme="majorBidi"/>
          <w:sz w:val="28"/>
          <w:szCs w:val="28"/>
          <w:rtl/>
          <w:lang w:val="en-US"/>
        </w:rPr>
        <w:t xml:space="preserve">אמר </w:t>
      </w:r>
      <w:r w:rsidRPr="00605742">
        <w:rPr>
          <w:rFonts w:asciiTheme="majorBidi" w:eastAsia="Rockwell" w:hAnsiTheme="majorBidi" w:cstheme="majorBidi"/>
          <w:b/>
          <w:bCs/>
          <w:sz w:val="28"/>
          <w:szCs w:val="28"/>
          <w:rtl/>
          <w:lang w:val="en-US"/>
        </w:rPr>
        <w:t>רבי תנחום א''ר חנילאי</w:t>
      </w:r>
      <w:r w:rsidRPr="00605742">
        <w:rPr>
          <w:rFonts w:asciiTheme="majorBidi" w:eastAsia="Rockwell" w:hAnsiTheme="majorBidi" w:cstheme="majorBidi"/>
          <w:sz w:val="28"/>
          <w:szCs w:val="28"/>
          <w:rtl/>
          <w:lang w:val="en-US"/>
        </w:rPr>
        <w:t xml:space="preserve"> כל אדם שאין לו אשה שרוי בלא שמחה בלא ברכה בלא טובה בלא שמחה דכתיב ושמחת אתה וביתך בלא ברכה דכתיב להניח ברכה אל ביתך</w:t>
      </w:r>
    </w:p>
    <w:p w14:paraId="7DABA536" w14:textId="18753C5E" w:rsidR="00805C8B" w:rsidRPr="00605742" w:rsidRDefault="00805C8B" w:rsidP="00805C8B">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ותירץ שבאמת יש לאיש יותר ברכה מהאשה, אמנם כשמזדווגים שניהם יחד ואז השכינה ביניהם, מתרבה ע''י כך השפע מאוד.</w:t>
      </w:r>
    </w:p>
    <w:p w14:paraId="3C384CCB" w14:textId="19F3262D" w:rsidR="00805C8B" w:rsidRPr="00605742" w:rsidRDefault="00805C8B" w:rsidP="00805C8B">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 xml:space="preserve">וכותב </w:t>
      </w:r>
      <w:r w:rsidRPr="00605742">
        <w:rPr>
          <w:rFonts w:asciiTheme="majorBidi" w:eastAsia="Rockwell" w:hAnsiTheme="majorBidi" w:cstheme="majorBidi"/>
          <w:b/>
          <w:bCs/>
          <w:sz w:val="28"/>
          <w:szCs w:val="28"/>
          <w:rtl/>
          <w:lang w:val="en-US"/>
        </w:rPr>
        <w:t>במהר''ל</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(חידושי אגדות) </w:t>
      </w:r>
      <w:r w:rsidRPr="00605742">
        <w:rPr>
          <w:rFonts w:asciiTheme="majorBidi" w:eastAsia="Rockwell" w:hAnsiTheme="majorBidi" w:cstheme="majorBidi"/>
          <w:sz w:val="28"/>
          <w:szCs w:val="28"/>
          <w:rtl/>
          <w:lang w:val="en-US"/>
        </w:rPr>
        <w:t xml:space="preserve">על </w:t>
      </w:r>
      <w:r w:rsidRPr="00605742">
        <w:rPr>
          <w:rFonts w:asciiTheme="majorBidi" w:eastAsia="Rockwell" w:hAnsiTheme="majorBidi" w:cstheme="majorBidi"/>
          <w:b/>
          <w:bCs/>
          <w:sz w:val="28"/>
          <w:szCs w:val="28"/>
          <w:rtl/>
          <w:lang w:val="en-US"/>
        </w:rPr>
        <w:t>ב''מ</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(דף נט.) </w:t>
      </w:r>
      <w:r w:rsidRPr="00605742">
        <w:rPr>
          <w:rFonts w:asciiTheme="majorBidi" w:eastAsia="Rockwell" w:hAnsiTheme="majorBidi" w:cstheme="majorBidi"/>
          <w:sz w:val="28"/>
          <w:szCs w:val="28"/>
          <w:rtl/>
          <w:lang w:val="en-US"/>
        </w:rPr>
        <w:t xml:space="preserve">''כי אין האשה בעלת ברכה, רק הזכר ולא הנקיבה, </w:t>
      </w:r>
      <w:r w:rsidRPr="00605742">
        <w:rPr>
          <w:rFonts w:asciiTheme="majorBidi" w:eastAsia="Rockwell" w:hAnsiTheme="majorBidi" w:cstheme="majorBidi"/>
          <w:sz w:val="28"/>
          <w:szCs w:val="28"/>
          <w:u w:val="single"/>
          <w:rtl/>
          <w:lang w:val="en-US"/>
        </w:rPr>
        <w:t>כי זכר במספר ברכה</w:t>
      </w:r>
      <w:r w:rsidRPr="00605742">
        <w:rPr>
          <w:rFonts w:asciiTheme="majorBidi" w:eastAsia="Rockwell" w:hAnsiTheme="majorBidi" w:cstheme="majorBidi"/>
          <w:sz w:val="28"/>
          <w:szCs w:val="28"/>
          <w:rtl/>
          <w:lang w:val="en-US"/>
        </w:rPr>
        <w:t>, ואמרו אין פרי האשה מתברך אלא מפרי בטנו של איש, כדאיתא בפרק שלשה שאכלו (ברכות נ"א ע"ב) רק שהאשה מוכנת לקבלה על ידי האיש, באשר האשה כלי מוכן לקבל, כי היא ביתו של אדם. וכאשר נותן הכבוד לה, באשר היא עטרת בעלה, אז מקבלת העושר הוא הכבוד.</w:t>
      </w:r>
    </w:p>
    <w:p w14:paraId="134698D1" w14:textId="1C00009E" w:rsidR="00805C8B" w:rsidRPr="00605742" w:rsidRDefault="00805C8B" w:rsidP="00805C8B">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 xml:space="preserve">וכן כותב </w:t>
      </w:r>
      <w:r w:rsidRPr="00605742">
        <w:rPr>
          <w:rFonts w:asciiTheme="majorBidi" w:eastAsia="Rockwell" w:hAnsiTheme="majorBidi" w:cstheme="majorBidi"/>
          <w:b/>
          <w:bCs/>
          <w:sz w:val="28"/>
          <w:szCs w:val="28"/>
          <w:rtl/>
          <w:lang w:val="en-US"/>
        </w:rPr>
        <w:t>הפתח עינים</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(שם) </w:t>
      </w:r>
      <w:r w:rsidRPr="00605742">
        <w:rPr>
          <w:rFonts w:asciiTheme="majorBidi" w:eastAsia="Rockwell" w:hAnsiTheme="majorBidi" w:cstheme="majorBidi"/>
          <w:sz w:val="28"/>
          <w:szCs w:val="28"/>
          <w:rtl/>
          <w:lang w:val="en-US"/>
        </w:rPr>
        <w:t>שזכר גימטריא ברכה ונקבה גימטריא נזק.</w:t>
      </w:r>
    </w:p>
    <w:p w14:paraId="6411FC87" w14:textId="0BFFFCC9" w:rsidR="00173EF6" w:rsidRPr="00605742" w:rsidRDefault="00173EF6" w:rsidP="00173EF6">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 xml:space="preserve">וכותב בספר </w:t>
      </w:r>
      <w:r w:rsidRPr="00605742">
        <w:rPr>
          <w:rFonts w:asciiTheme="majorBidi" w:eastAsia="Rockwell" w:hAnsiTheme="majorBidi" w:cstheme="majorBidi"/>
          <w:b/>
          <w:bCs/>
          <w:sz w:val="28"/>
          <w:szCs w:val="28"/>
          <w:rtl/>
          <w:lang w:val="en-US"/>
        </w:rPr>
        <w:t>דף על הדף</w:t>
      </w:r>
      <w:r w:rsidRPr="00605742">
        <w:rPr>
          <w:rFonts w:asciiTheme="majorBidi" w:eastAsia="Rockwell" w:hAnsiTheme="majorBidi" w:cstheme="majorBidi"/>
          <w:sz w:val="28"/>
          <w:szCs w:val="28"/>
          <w:rtl/>
          <w:lang w:val="en-US"/>
        </w:rPr>
        <w:t xml:space="preserve"> </w:t>
      </w:r>
      <w:r w:rsidRPr="00605742">
        <w:rPr>
          <w:rFonts w:asciiTheme="majorBidi" w:eastAsia="Rockwell" w:hAnsiTheme="majorBidi" w:cstheme="majorBidi"/>
          <w:sz w:val="24"/>
          <w:szCs w:val="24"/>
          <w:rtl/>
          <w:lang w:val="en-US"/>
        </w:rPr>
        <w:t xml:space="preserve">(על נדה דף לא:) </w:t>
      </w:r>
      <w:r w:rsidRPr="00605742">
        <w:rPr>
          <w:rFonts w:asciiTheme="majorBidi" w:eastAsia="Rockwell" w:hAnsiTheme="majorBidi" w:cstheme="majorBidi"/>
          <w:sz w:val="28"/>
          <w:szCs w:val="28"/>
          <w:rtl/>
          <w:lang w:val="en-US"/>
        </w:rPr>
        <w:t xml:space="preserve">''נשאל הגאון המפורסם שר התורה </w:t>
      </w:r>
      <w:r w:rsidRPr="00605742">
        <w:rPr>
          <w:rFonts w:asciiTheme="majorBidi" w:eastAsia="Rockwell" w:hAnsiTheme="majorBidi" w:cstheme="majorBidi"/>
          <w:b/>
          <w:bCs/>
          <w:sz w:val="28"/>
          <w:szCs w:val="28"/>
          <w:rtl/>
          <w:lang w:val="en-US"/>
        </w:rPr>
        <w:t>ר' משה פיינשטין</w:t>
      </w:r>
      <w:r w:rsidRPr="00605742">
        <w:rPr>
          <w:rFonts w:asciiTheme="majorBidi" w:eastAsia="Rockwell" w:hAnsiTheme="majorBidi" w:cstheme="majorBidi"/>
          <w:sz w:val="28"/>
          <w:szCs w:val="28"/>
          <w:rtl/>
          <w:lang w:val="en-US"/>
        </w:rPr>
        <w:t xml:space="preserve"> זצ"ל, במי שרוצה לקנות ביטוח שיקבלו אשתו ובניו סכום כסף שיהיה להם ממה להתפרנס, ויש לפניו ב' מיני ביטוח, א' - שבחיים לא יקבל כלום ורק לאחר מיתתו יקבלו היורשים סכום גדול. ב. שכשיגיע לגיל ס"ה שנים יקבל בעצמו איזה סכום, ולאחר מיתתו יקבלו היורשים אבל פחות מהסכום הנ"ל, איזה מהם יבחר האדם</w:t>
      </w:r>
      <w:r w:rsidRPr="00605742">
        <w:rPr>
          <w:rFonts w:asciiTheme="majorBidi" w:eastAsia="Rockwell" w:hAnsiTheme="majorBidi" w:cstheme="majorBidi"/>
          <w:sz w:val="28"/>
          <w:szCs w:val="28"/>
          <w:lang w:val="en-US"/>
        </w:rPr>
        <w:t>.</w:t>
      </w:r>
    </w:p>
    <w:p w14:paraId="402723CE" w14:textId="77777777" w:rsidR="00173EF6" w:rsidRPr="00605742" w:rsidRDefault="00173EF6" w:rsidP="00173EF6">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וכותב (או"ח ח"ד סימן מ"ח) וז"ל: "שאלת כתר"ה אף שהוא רק ענין עצה שבעוה"ר ניטלה עצה עד שירחם השי"ת וישיב יועצינו כבתחילה כאשר אנחנו מתפללים ומקוים לזה בכל עת ועונה, אבל עכ"ז אנסה לומר כפי הנראה מדברי חז"ל מה שיותר נכון</w:t>
      </w:r>
      <w:r w:rsidRPr="00605742">
        <w:rPr>
          <w:rFonts w:asciiTheme="majorBidi" w:eastAsia="Rockwell" w:hAnsiTheme="majorBidi" w:cstheme="majorBidi"/>
          <w:sz w:val="28"/>
          <w:szCs w:val="28"/>
          <w:lang w:val="en-US"/>
        </w:rPr>
        <w:t>.</w:t>
      </w:r>
    </w:p>
    <w:p w14:paraId="54D674F4" w14:textId="77777777" w:rsidR="00173EF6" w:rsidRPr="00605742" w:rsidRDefault="00173EF6" w:rsidP="00173EF6">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ומביא שם הגמ' דבא זכר בא ככרו בידו, נקבה - אין עמה כלום נקיה באה עד דאמרה מזוני לא יהבי לה, ופירש"י שיודעת להתפלל, ומהרש"א בח"א כותב דלרש"י הוא לענין מזל דמזלה תלוי במזל הזכר, וכשצריכה בעצמה להתפרנס, תלוי בתפילה כשיקבל הקדוש ברוך הוא תפילתה ע"ש</w:t>
      </w:r>
      <w:r w:rsidRPr="00605742">
        <w:rPr>
          <w:rFonts w:asciiTheme="majorBidi" w:eastAsia="Rockwell" w:hAnsiTheme="majorBidi" w:cstheme="majorBidi"/>
          <w:sz w:val="28"/>
          <w:szCs w:val="28"/>
          <w:lang w:val="en-US"/>
        </w:rPr>
        <w:t>.</w:t>
      </w:r>
    </w:p>
    <w:p w14:paraId="5040BA6C" w14:textId="77777777" w:rsidR="00173EF6" w:rsidRPr="00605742" w:rsidRDefault="00173EF6" w:rsidP="00173EF6">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ונמצא לפי זה שהזכר כל זמן שהוא, יש לו הבטחה לפרנסתו אף שלא יזכה שיתקבל תפלתו, ולא רק לפרנסת עצמו אלא גם לפרנסת אשתו וב"ב המוטלים עליו, ולכן כל זמן שיאריך השי"ת ימיו אף כשיזקין איכא הבטחה שככרו בידו, ולרבא במו"ק דף כ"ח דתלוי במזלא כפי שהקציב הקדוש ברוך הוא יש שהוא באופן קל בלא טירחא וגם בשפע ברכה ויש בטירחא גדולה וגם בצמצום, אבל בכל אופן יהיה ממילא גם לאשתו וב"ב, אבל אחר שימות ואשתו תהיה אלמנה שתצטרך בעצמה להתפרנס, שאם לא יהיה לה זכות גדול שיקובל תפלתה הרי לא יהיה לה מזונות, ואף אם בחסד ה' יהיה לה מזונות, לא יהיה לה בהרוחה, כיון שלנשים ליכא הבטחה וצריכים לזכותים גדולים</w:t>
      </w:r>
      <w:r w:rsidRPr="00605742">
        <w:rPr>
          <w:rFonts w:asciiTheme="majorBidi" w:eastAsia="Rockwell" w:hAnsiTheme="majorBidi" w:cstheme="majorBidi"/>
          <w:sz w:val="28"/>
          <w:szCs w:val="28"/>
          <w:lang w:val="en-US"/>
        </w:rPr>
        <w:t>.</w:t>
      </w:r>
    </w:p>
    <w:p w14:paraId="6E6426B5" w14:textId="19EA9746" w:rsidR="00292FE2" w:rsidRPr="001305BC" w:rsidRDefault="00173EF6" w:rsidP="001305BC">
      <w:pPr>
        <w:bidi/>
        <w:spacing w:after="200" w:line="276" w:lineRule="auto"/>
        <w:jc w:val="both"/>
        <w:rPr>
          <w:rFonts w:asciiTheme="majorBidi" w:eastAsia="Rockwell" w:hAnsiTheme="majorBidi" w:cstheme="majorBidi"/>
          <w:sz w:val="28"/>
          <w:szCs w:val="28"/>
          <w:rtl/>
          <w:lang w:val="en-US"/>
        </w:rPr>
      </w:pPr>
      <w:r w:rsidRPr="00605742">
        <w:rPr>
          <w:rFonts w:asciiTheme="majorBidi" w:eastAsia="Rockwell" w:hAnsiTheme="majorBidi" w:cstheme="majorBidi"/>
          <w:sz w:val="28"/>
          <w:szCs w:val="28"/>
          <w:rtl/>
          <w:lang w:val="en-US"/>
        </w:rPr>
        <w:t>ולפי"ז מן הראוי כשרואה שבדרך פרנסתו לא יוכל להשאיר הרבה אלא אחר מיתתו, שיקח ביטוח של סכום גדול כדי שיהיה לאשתו ובניו יותר שיוכלו לזון ולהתפרנס בהרוחה, שהוא עצמו כשיאריך השי"ת שנותיו אינו צריך כ"כ לביטוח, שהרי מובטח מהשי"ת באיזה פרנסה גם בלא זכותים עכת"ד''.</w:t>
      </w:r>
      <w:bookmarkStart w:id="0" w:name="_Hlk153821256"/>
    </w:p>
    <w:p w14:paraId="5F2C39EE" w14:textId="44827BAC" w:rsidR="00292FE2" w:rsidRPr="00605742" w:rsidRDefault="00292FE2" w:rsidP="00292FE2">
      <w:pPr>
        <w:bidi/>
        <w:jc w:val="both"/>
        <w:rPr>
          <w:rFonts w:asciiTheme="majorBidi" w:hAnsiTheme="majorBidi" w:cstheme="majorBidi"/>
          <w:sz w:val="36"/>
          <w:szCs w:val="36"/>
          <w:u w:val="single"/>
          <w:rtl/>
        </w:rPr>
      </w:pPr>
      <w:r w:rsidRPr="00605742">
        <w:rPr>
          <w:rFonts w:asciiTheme="majorBidi" w:hAnsiTheme="majorBidi" w:cstheme="majorBidi"/>
          <w:sz w:val="36"/>
          <w:szCs w:val="36"/>
          <w:u w:val="single"/>
          <w:rtl/>
        </w:rPr>
        <w:lastRenderedPageBreak/>
        <w:t>כוס של ברכה</w:t>
      </w:r>
    </w:p>
    <w:p w14:paraId="4491B763" w14:textId="09C9D7F2" w:rsidR="00292FE2" w:rsidRPr="00605742" w:rsidRDefault="00292FE2" w:rsidP="00292FE2">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איתא </w:t>
      </w:r>
      <w:r w:rsidRPr="00605742">
        <w:rPr>
          <w:rFonts w:asciiTheme="majorBidi" w:hAnsiTheme="majorBidi" w:cstheme="majorBidi"/>
          <w:b/>
          <w:bCs/>
          <w:sz w:val="28"/>
          <w:szCs w:val="28"/>
          <w:rtl/>
        </w:rPr>
        <w:t>בברכות</w:t>
      </w:r>
      <w:r w:rsidRPr="00605742">
        <w:rPr>
          <w:rFonts w:asciiTheme="majorBidi" w:hAnsiTheme="majorBidi" w:cstheme="majorBidi"/>
          <w:sz w:val="28"/>
          <w:szCs w:val="28"/>
          <w:rtl/>
        </w:rPr>
        <w:t xml:space="preserve"> </w:t>
      </w:r>
      <w:r w:rsidRPr="00605742">
        <w:rPr>
          <w:rFonts w:asciiTheme="majorBidi" w:hAnsiTheme="majorBidi" w:cstheme="majorBidi"/>
          <w:sz w:val="24"/>
          <w:szCs w:val="24"/>
          <w:rtl/>
        </w:rPr>
        <w:t xml:space="preserve">(דף נא.) </w:t>
      </w:r>
      <w:r w:rsidRPr="00605742">
        <w:rPr>
          <w:rFonts w:asciiTheme="majorBidi" w:hAnsiTheme="majorBidi" w:cstheme="majorBidi"/>
          <w:sz w:val="28"/>
          <w:szCs w:val="28"/>
          <w:rtl/>
        </w:rPr>
        <w:t>''</w:t>
      </w:r>
      <w:r w:rsidRPr="00605742">
        <w:rPr>
          <w:rFonts w:asciiTheme="majorBidi" w:hAnsiTheme="majorBidi" w:cstheme="majorBidi"/>
          <w:b/>
          <w:bCs/>
          <w:sz w:val="28"/>
          <w:szCs w:val="28"/>
          <w:rtl/>
        </w:rPr>
        <w:t>א''ר זירא א''ר אבהו</w:t>
      </w:r>
      <w:r w:rsidRPr="00605742">
        <w:rPr>
          <w:rFonts w:asciiTheme="majorBidi" w:hAnsiTheme="majorBidi" w:cstheme="majorBidi"/>
          <w:sz w:val="28"/>
          <w:szCs w:val="28"/>
          <w:rtl/>
        </w:rPr>
        <w:t xml:space="preserve"> ואמרי לה במתניתא תנא עשרה דברים נאמרו בכוס של ברכה טעון הדחה ושטיפה חי ומלא עיטור ועיטוף נוטלו בשתי ידיו ונותנו בימין ומגביהו מן הקרקע טפח ונותן עיניו בו ויש אומרים אף משגרו במתנה לאנשי ביתו''.</w:t>
      </w:r>
    </w:p>
    <w:p w14:paraId="2535396B" w14:textId="416D0FBF" w:rsidR="00292FE2" w:rsidRPr="00605742" w:rsidRDefault="00292FE2" w:rsidP="00292FE2">
      <w:pPr>
        <w:bidi/>
        <w:jc w:val="both"/>
        <w:rPr>
          <w:rFonts w:asciiTheme="majorBidi" w:hAnsiTheme="majorBidi" w:cstheme="majorBidi"/>
          <w:sz w:val="28"/>
          <w:szCs w:val="28"/>
          <w:rtl/>
        </w:rPr>
      </w:pPr>
      <w:r w:rsidRPr="00605742">
        <w:rPr>
          <w:rFonts w:asciiTheme="majorBidi" w:hAnsiTheme="majorBidi" w:cstheme="majorBidi"/>
          <w:b/>
          <w:bCs/>
          <w:sz w:val="28"/>
          <w:szCs w:val="28"/>
          <w:rtl/>
        </w:rPr>
        <w:t>ורש''י</w:t>
      </w:r>
      <w:r w:rsidRPr="00605742">
        <w:rPr>
          <w:rFonts w:asciiTheme="majorBidi" w:hAnsiTheme="majorBidi" w:cstheme="majorBidi"/>
          <w:sz w:val="28"/>
          <w:szCs w:val="28"/>
          <w:rtl/>
        </w:rPr>
        <w:t xml:space="preserve"> כותב ''במתנה. דרך דורון וחשיבות: לאנשי ביתו. לאשתו''.</w:t>
      </w:r>
    </w:p>
    <w:p w14:paraId="05E8794B" w14:textId="73F60D67" w:rsidR="00292FE2" w:rsidRDefault="00292FE2" w:rsidP="00292FE2">
      <w:pPr>
        <w:bidi/>
        <w:jc w:val="both"/>
        <w:rPr>
          <w:rFonts w:asciiTheme="majorBidi" w:hAnsiTheme="majorBidi" w:cstheme="majorBidi"/>
          <w:sz w:val="28"/>
          <w:szCs w:val="28"/>
          <w:rtl/>
        </w:rPr>
      </w:pPr>
      <w:r w:rsidRPr="00605742">
        <w:rPr>
          <w:rFonts w:asciiTheme="majorBidi" w:hAnsiTheme="majorBidi" w:cstheme="majorBidi"/>
          <w:sz w:val="28"/>
          <w:szCs w:val="28"/>
          <w:rtl/>
        </w:rPr>
        <w:t>ובדף נא: איתא ''</w:t>
      </w:r>
      <w:r w:rsidRPr="00605742">
        <w:rPr>
          <w:rFonts w:asciiTheme="majorBidi" w:hAnsiTheme="majorBidi" w:cstheme="majorBidi"/>
          <w:sz w:val="28"/>
          <w:szCs w:val="28"/>
          <w:u w:val="single"/>
          <w:rtl/>
        </w:rPr>
        <w:t>ומשגרו לאנשי ביתו במתנה כי היכי דתתברך דביתהו</w:t>
      </w:r>
      <w:r w:rsidRPr="00605742">
        <w:rPr>
          <w:rFonts w:asciiTheme="majorBidi" w:hAnsiTheme="majorBidi" w:cstheme="majorBidi"/>
          <w:sz w:val="28"/>
          <w:szCs w:val="28"/>
          <w:rtl/>
        </w:rPr>
        <w:t>''.</w:t>
      </w:r>
    </w:p>
    <w:p w14:paraId="6CAE7E85" w14:textId="77777777" w:rsidR="00605742" w:rsidRDefault="00605742" w:rsidP="00605742">
      <w:pPr>
        <w:bidi/>
        <w:jc w:val="both"/>
        <w:rPr>
          <w:rFonts w:asciiTheme="majorBidi" w:hAnsiTheme="majorBidi" w:cstheme="majorBidi"/>
          <w:sz w:val="28"/>
          <w:szCs w:val="28"/>
          <w:rtl/>
        </w:rPr>
      </w:pPr>
    </w:p>
    <w:p w14:paraId="287CC3BB" w14:textId="2B31B447" w:rsidR="00605742" w:rsidRPr="00605742" w:rsidRDefault="00605742" w:rsidP="00605742">
      <w:pPr>
        <w:bidi/>
        <w:jc w:val="both"/>
        <w:rPr>
          <w:rFonts w:asciiTheme="majorBidi" w:hAnsiTheme="majorBidi" w:cstheme="majorBidi"/>
          <w:sz w:val="36"/>
          <w:szCs w:val="36"/>
          <w:u w:val="single"/>
          <w:rtl/>
        </w:rPr>
      </w:pPr>
      <w:r w:rsidRPr="00605742">
        <w:rPr>
          <w:rFonts w:asciiTheme="majorBidi" w:hAnsiTheme="majorBidi" w:cstheme="majorBidi"/>
          <w:sz w:val="36"/>
          <w:szCs w:val="36"/>
          <w:u w:val="single"/>
          <w:rtl/>
        </w:rPr>
        <w:t>כל אדם ידמה במעשיו לברכת השבט שהוא שייך אליו</w:t>
      </w:r>
    </w:p>
    <w:p w14:paraId="7FA0D008" w14:textId="38BCC5E6" w:rsidR="00605742" w:rsidRDefault="00605742" w:rsidP="00605742">
      <w:pPr>
        <w:bidi/>
        <w:jc w:val="both"/>
        <w:rPr>
          <w:rFonts w:asciiTheme="majorBidi" w:hAnsiTheme="majorBidi" w:cstheme="majorBidi"/>
          <w:sz w:val="28"/>
          <w:szCs w:val="28"/>
          <w:rtl/>
        </w:rPr>
      </w:pPr>
      <w:r>
        <w:rPr>
          <w:rFonts w:asciiTheme="majorBidi" w:hAnsiTheme="majorBidi" w:cstheme="majorBidi" w:hint="cs"/>
          <w:sz w:val="28"/>
          <w:szCs w:val="28"/>
          <w:rtl/>
        </w:rPr>
        <w:t xml:space="preserve">מבואר </w:t>
      </w:r>
      <w:r w:rsidRPr="00605742">
        <w:rPr>
          <w:rFonts w:asciiTheme="majorBidi" w:hAnsiTheme="majorBidi" w:cstheme="majorBidi" w:hint="cs"/>
          <w:b/>
          <w:bCs/>
          <w:sz w:val="28"/>
          <w:szCs w:val="28"/>
          <w:rtl/>
        </w:rPr>
        <w:t>בפסחים</w:t>
      </w:r>
      <w:r>
        <w:rPr>
          <w:rFonts w:asciiTheme="majorBidi" w:hAnsiTheme="majorBidi" w:cstheme="majorBidi" w:hint="cs"/>
          <w:sz w:val="28"/>
          <w:szCs w:val="28"/>
          <w:rtl/>
        </w:rPr>
        <w:t xml:space="preserve"> </w:t>
      </w:r>
      <w:r w:rsidRPr="00605742">
        <w:rPr>
          <w:rFonts w:asciiTheme="majorBidi" w:hAnsiTheme="majorBidi" w:cstheme="majorBidi" w:hint="cs"/>
          <w:sz w:val="24"/>
          <w:szCs w:val="24"/>
          <w:rtl/>
        </w:rPr>
        <w:t xml:space="preserve">(דף ד.) </w:t>
      </w:r>
      <w:r>
        <w:rPr>
          <w:rFonts w:asciiTheme="majorBidi" w:hAnsiTheme="majorBidi" w:cstheme="majorBidi" w:hint="cs"/>
          <w:sz w:val="28"/>
          <w:szCs w:val="28"/>
          <w:rtl/>
        </w:rPr>
        <w:t>''</w:t>
      </w:r>
      <w:r w:rsidRPr="00605742">
        <w:rPr>
          <w:rFonts w:asciiTheme="majorBidi" w:hAnsiTheme="majorBidi" w:cstheme="majorBidi"/>
          <w:sz w:val="28"/>
          <w:szCs w:val="28"/>
          <w:rtl/>
        </w:rPr>
        <w:t>ההוא דאמר דונו דיני אמרי שמע מינה מדן קאתי דכתיב דן ידין עמו כאחד שבטי ישראל ההוא דהוה קא אזיל ואמר אכיף ימא אסיסני ביראתא בדקו ואשכחוהו דמזבולן קאתי דכתיב זבולון לחוף ימים ישכון</w:t>
      </w:r>
      <w:r>
        <w:rPr>
          <w:rFonts w:asciiTheme="majorBidi" w:hAnsiTheme="majorBidi" w:cstheme="majorBidi" w:hint="cs"/>
          <w:sz w:val="28"/>
          <w:szCs w:val="28"/>
          <w:rtl/>
        </w:rPr>
        <w:t>''.</w:t>
      </w:r>
    </w:p>
    <w:p w14:paraId="475FA3DE" w14:textId="28A7B8D6" w:rsidR="00605742" w:rsidRDefault="00605742" w:rsidP="00605742">
      <w:pPr>
        <w:bidi/>
        <w:jc w:val="both"/>
        <w:rPr>
          <w:rFonts w:asciiTheme="majorBidi" w:hAnsiTheme="majorBidi" w:cstheme="majorBidi"/>
          <w:sz w:val="28"/>
          <w:szCs w:val="28"/>
          <w:rtl/>
        </w:rPr>
      </w:pPr>
      <w:r w:rsidRPr="00605742">
        <w:rPr>
          <w:rFonts w:asciiTheme="majorBidi" w:hAnsiTheme="majorBidi" w:cstheme="majorBidi"/>
          <w:b/>
          <w:bCs/>
          <w:sz w:val="28"/>
          <w:szCs w:val="28"/>
          <w:rtl/>
        </w:rPr>
        <w:t>המהרש"א</w:t>
      </w:r>
      <w:r w:rsidRPr="00605742">
        <w:rPr>
          <w:rFonts w:asciiTheme="majorBidi" w:hAnsiTheme="majorBidi" w:cstheme="majorBidi"/>
          <w:sz w:val="28"/>
          <w:szCs w:val="28"/>
          <w:rtl/>
        </w:rPr>
        <w:t xml:space="preserve"> </w:t>
      </w:r>
      <w:r w:rsidRPr="00605742">
        <w:rPr>
          <w:rFonts w:asciiTheme="majorBidi" w:hAnsiTheme="majorBidi" w:cstheme="majorBidi" w:hint="cs"/>
          <w:sz w:val="24"/>
          <w:szCs w:val="24"/>
          <w:rtl/>
        </w:rPr>
        <w:t xml:space="preserve">(שם) </w:t>
      </w:r>
      <w:r w:rsidRPr="00605742">
        <w:rPr>
          <w:rFonts w:asciiTheme="majorBidi" w:hAnsiTheme="majorBidi" w:cstheme="majorBidi"/>
          <w:sz w:val="28"/>
          <w:szCs w:val="28"/>
          <w:rtl/>
        </w:rPr>
        <w:t>מבאר שכל אדם ידמה במעשיו לברכת השבט שהוא שייך אליו, ולשבט דן ניתן הברכה שינקום להעמיד דבריו על הדין.</w:t>
      </w:r>
    </w:p>
    <w:p w14:paraId="52A912CB" w14:textId="77777777" w:rsidR="009F1ACF" w:rsidRDefault="009F1ACF" w:rsidP="009F1ACF">
      <w:pPr>
        <w:bidi/>
        <w:jc w:val="both"/>
        <w:rPr>
          <w:rFonts w:asciiTheme="majorBidi" w:hAnsiTheme="majorBidi" w:cstheme="majorBidi"/>
          <w:sz w:val="28"/>
          <w:szCs w:val="28"/>
          <w:rtl/>
        </w:rPr>
      </w:pPr>
    </w:p>
    <w:p w14:paraId="368E01E1" w14:textId="00EAF5D9" w:rsidR="009F1ACF" w:rsidRPr="009F1ACF" w:rsidRDefault="009F1ACF" w:rsidP="009F1ACF">
      <w:pPr>
        <w:bidi/>
        <w:jc w:val="both"/>
        <w:rPr>
          <w:rFonts w:asciiTheme="majorBidi" w:hAnsiTheme="majorBidi" w:cstheme="majorBidi"/>
          <w:sz w:val="36"/>
          <w:szCs w:val="36"/>
          <w:u w:val="single"/>
        </w:rPr>
      </w:pPr>
      <w:r w:rsidRPr="009F1ACF">
        <w:rPr>
          <w:rFonts w:asciiTheme="majorBidi" w:hAnsiTheme="majorBidi" w:cs="Times New Roman"/>
          <w:sz w:val="36"/>
          <w:szCs w:val="36"/>
          <w:u w:val="single"/>
          <w:rtl/>
        </w:rPr>
        <w:t>הברכה היא תוספת טובה והצלחה בעוה"ז</w:t>
      </w:r>
    </w:p>
    <w:p w14:paraId="7E366C8D" w14:textId="32275DCD" w:rsidR="009F1ACF" w:rsidRPr="00605742" w:rsidRDefault="009F1ACF" w:rsidP="009F1ACF">
      <w:pPr>
        <w:bidi/>
        <w:jc w:val="both"/>
        <w:rPr>
          <w:rFonts w:asciiTheme="majorBidi" w:hAnsiTheme="majorBidi" w:cstheme="majorBidi"/>
          <w:sz w:val="28"/>
          <w:szCs w:val="28"/>
        </w:rPr>
      </w:pPr>
      <w:r>
        <w:rPr>
          <w:rFonts w:asciiTheme="majorBidi" w:hAnsiTheme="majorBidi" w:cstheme="majorBidi" w:hint="cs"/>
          <w:sz w:val="28"/>
          <w:szCs w:val="28"/>
          <w:rtl/>
        </w:rPr>
        <w:t xml:space="preserve">כתב </w:t>
      </w:r>
      <w:r w:rsidRPr="009F1ACF">
        <w:rPr>
          <w:rFonts w:asciiTheme="majorBidi" w:hAnsiTheme="majorBidi" w:cs="Times New Roman"/>
          <w:b/>
          <w:bCs/>
          <w:sz w:val="28"/>
          <w:szCs w:val="28"/>
          <w:rtl/>
        </w:rPr>
        <w:t>רבינו בחיי</w:t>
      </w:r>
      <w:r w:rsidRPr="009F1ACF">
        <w:rPr>
          <w:rFonts w:asciiTheme="majorBidi" w:hAnsiTheme="majorBidi" w:cs="Times New Roman"/>
          <w:sz w:val="28"/>
          <w:szCs w:val="28"/>
          <w:rtl/>
        </w:rPr>
        <w:t xml:space="preserve"> </w:t>
      </w:r>
      <w:r w:rsidRPr="009F1ACF">
        <w:rPr>
          <w:rFonts w:asciiTheme="majorBidi" w:hAnsiTheme="majorBidi" w:cs="Times New Roman" w:hint="cs"/>
          <w:sz w:val="24"/>
          <w:szCs w:val="24"/>
          <w:rtl/>
        </w:rPr>
        <w:t>(הקדמה ל</w:t>
      </w:r>
      <w:r w:rsidRPr="009F1ACF">
        <w:rPr>
          <w:rFonts w:asciiTheme="majorBidi" w:hAnsiTheme="majorBidi" w:cs="Times New Roman"/>
          <w:sz w:val="24"/>
          <w:szCs w:val="24"/>
          <w:rtl/>
        </w:rPr>
        <w:t>פרשת ואתחנן)</w:t>
      </w:r>
      <w:r w:rsidRPr="009F1ACF">
        <w:rPr>
          <w:rFonts w:asciiTheme="majorBidi" w:hAnsiTheme="majorBidi" w:cstheme="majorBidi" w:hint="cs"/>
          <w:sz w:val="24"/>
          <w:szCs w:val="24"/>
          <w:rtl/>
        </w:rPr>
        <w:t xml:space="preserve"> </w:t>
      </w:r>
      <w:r>
        <w:rPr>
          <w:rFonts w:asciiTheme="majorBidi" w:hAnsiTheme="majorBidi" w:cstheme="majorBidi" w:hint="cs"/>
          <w:sz w:val="28"/>
          <w:szCs w:val="28"/>
          <w:rtl/>
        </w:rPr>
        <w:t>ש</w:t>
      </w:r>
      <w:r w:rsidRPr="009F1ACF">
        <w:rPr>
          <w:rFonts w:asciiTheme="majorBidi" w:hAnsiTheme="majorBidi" w:cs="Times New Roman"/>
          <w:sz w:val="28"/>
          <w:szCs w:val="28"/>
          <w:rtl/>
        </w:rPr>
        <w:t>הברכה היא תוספת טובה והצלחה בעוה"ז</w:t>
      </w:r>
      <w:r>
        <w:rPr>
          <w:rFonts w:asciiTheme="majorBidi" w:hAnsiTheme="majorBidi" w:cs="Times New Roman" w:hint="cs"/>
          <w:sz w:val="28"/>
          <w:szCs w:val="28"/>
          <w:rtl/>
        </w:rPr>
        <w:t>.</w:t>
      </w:r>
    </w:p>
    <w:p w14:paraId="62035C03" w14:textId="77777777" w:rsidR="00605742" w:rsidRPr="00605742" w:rsidRDefault="00605742" w:rsidP="00605742">
      <w:pPr>
        <w:bidi/>
        <w:jc w:val="both"/>
        <w:rPr>
          <w:rFonts w:asciiTheme="majorBidi" w:hAnsiTheme="majorBidi" w:cstheme="majorBidi"/>
          <w:sz w:val="28"/>
          <w:szCs w:val="28"/>
          <w:rtl/>
        </w:rPr>
      </w:pPr>
    </w:p>
    <w:p w14:paraId="191FE972" w14:textId="77777777" w:rsidR="00292FE2" w:rsidRPr="00605742" w:rsidRDefault="00292FE2" w:rsidP="00292FE2">
      <w:pPr>
        <w:bidi/>
        <w:jc w:val="both"/>
        <w:rPr>
          <w:rFonts w:asciiTheme="majorBidi" w:hAnsiTheme="majorBidi" w:cstheme="majorBidi"/>
          <w:sz w:val="28"/>
          <w:szCs w:val="28"/>
          <w:rtl/>
        </w:rPr>
      </w:pPr>
    </w:p>
    <w:p w14:paraId="0C6A42C7" w14:textId="77777777" w:rsidR="00DD780F" w:rsidRPr="00605742" w:rsidRDefault="00DD780F" w:rsidP="00DD780F">
      <w:pPr>
        <w:bidi/>
        <w:jc w:val="both"/>
        <w:rPr>
          <w:rFonts w:asciiTheme="majorBidi" w:hAnsiTheme="majorBidi" w:cstheme="majorBidi"/>
          <w:sz w:val="28"/>
          <w:szCs w:val="28"/>
          <w:rtl/>
        </w:rPr>
      </w:pPr>
    </w:p>
    <w:p w14:paraId="639076A0" w14:textId="77777777" w:rsidR="00DD780F" w:rsidRPr="00605742" w:rsidRDefault="00DD780F" w:rsidP="00DD780F">
      <w:pPr>
        <w:bidi/>
        <w:jc w:val="both"/>
        <w:rPr>
          <w:rFonts w:asciiTheme="majorBidi" w:hAnsiTheme="majorBidi" w:cstheme="majorBidi"/>
          <w:sz w:val="28"/>
          <w:szCs w:val="28"/>
          <w:rtl/>
        </w:rPr>
      </w:pPr>
    </w:p>
    <w:bookmarkEnd w:id="0"/>
    <w:p w14:paraId="3823CA04" w14:textId="77777777" w:rsidR="00DD780F" w:rsidRPr="00605742" w:rsidRDefault="00DD780F" w:rsidP="00DD780F">
      <w:pPr>
        <w:bidi/>
        <w:jc w:val="both"/>
        <w:rPr>
          <w:rFonts w:asciiTheme="majorBidi" w:hAnsiTheme="majorBidi" w:cstheme="majorBidi"/>
          <w:sz w:val="28"/>
          <w:szCs w:val="28"/>
        </w:rPr>
      </w:pPr>
    </w:p>
    <w:p w14:paraId="63C157E6" w14:textId="77777777" w:rsidR="00DD780F" w:rsidRPr="00605742" w:rsidRDefault="00DD780F" w:rsidP="00DD780F">
      <w:pPr>
        <w:bidi/>
        <w:spacing w:after="200" w:line="276" w:lineRule="auto"/>
        <w:jc w:val="both"/>
        <w:rPr>
          <w:rFonts w:asciiTheme="majorBidi" w:eastAsia="Rockwell" w:hAnsiTheme="majorBidi" w:cstheme="majorBidi"/>
          <w:sz w:val="28"/>
          <w:szCs w:val="28"/>
          <w:lang w:val="en-US" w:bidi="en-US"/>
        </w:rPr>
      </w:pPr>
    </w:p>
    <w:p w14:paraId="42216F56" w14:textId="77777777" w:rsidR="00B01A51" w:rsidRPr="00605742" w:rsidRDefault="00B01A51" w:rsidP="00B01A51">
      <w:pPr>
        <w:bidi/>
        <w:jc w:val="both"/>
        <w:rPr>
          <w:rFonts w:asciiTheme="majorBidi" w:hAnsiTheme="majorBidi" w:cstheme="majorBidi"/>
          <w:sz w:val="28"/>
          <w:szCs w:val="28"/>
        </w:rPr>
      </w:pPr>
    </w:p>
    <w:p w14:paraId="0130E5C3" w14:textId="77777777" w:rsidR="00B01A51" w:rsidRPr="00605742" w:rsidRDefault="00B01A51" w:rsidP="00B01A51">
      <w:pPr>
        <w:bidi/>
        <w:jc w:val="both"/>
        <w:rPr>
          <w:rFonts w:asciiTheme="majorBidi" w:hAnsiTheme="majorBidi" w:cstheme="majorBidi"/>
          <w:sz w:val="28"/>
          <w:szCs w:val="28"/>
          <w:rtl/>
        </w:rPr>
      </w:pPr>
    </w:p>
    <w:p w14:paraId="17BF7D40" w14:textId="77777777" w:rsidR="002E5B3A" w:rsidRPr="00605742" w:rsidRDefault="002E5B3A" w:rsidP="002E5B3A">
      <w:pPr>
        <w:bidi/>
        <w:jc w:val="both"/>
        <w:rPr>
          <w:rFonts w:asciiTheme="majorBidi" w:hAnsiTheme="majorBidi" w:cstheme="majorBidi"/>
          <w:sz w:val="28"/>
          <w:szCs w:val="28"/>
        </w:rPr>
      </w:pPr>
    </w:p>
    <w:sectPr w:rsidR="002E5B3A" w:rsidRPr="006057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22C72" w14:textId="77777777" w:rsidR="00F800B4" w:rsidRDefault="00F800B4" w:rsidP="00292FE2">
      <w:pPr>
        <w:spacing w:after="0" w:line="240" w:lineRule="auto"/>
      </w:pPr>
      <w:r>
        <w:separator/>
      </w:r>
    </w:p>
  </w:endnote>
  <w:endnote w:type="continuationSeparator" w:id="0">
    <w:p w14:paraId="62B1EB5E" w14:textId="77777777" w:rsidR="00F800B4" w:rsidRDefault="00F800B4" w:rsidP="00292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A30D" w14:textId="77777777" w:rsidR="00F800B4" w:rsidRDefault="00F800B4" w:rsidP="00292FE2">
      <w:pPr>
        <w:spacing w:after="0" w:line="240" w:lineRule="auto"/>
      </w:pPr>
      <w:r>
        <w:separator/>
      </w:r>
    </w:p>
  </w:footnote>
  <w:footnote w:type="continuationSeparator" w:id="0">
    <w:p w14:paraId="4175E7D7" w14:textId="77777777" w:rsidR="00F800B4" w:rsidRDefault="00F800B4" w:rsidP="00292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551B9"/>
    <w:multiLevelType w:val="hybridMultilevel"/>
    <w:tmpl w:val="15364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617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B3A"/>
    <w:rsid w:val="000B3669"/>
    <w:rsid w:val="000C102A"/>
    <w:rsid w:val="001305BC"/>
    <w:rsid w:val="00173EF6"/>
    <w:rsid w:val="001D2779"/>
    <w:rsid w:val="00292FE2"/>
    <w:rsid w:val="002C6AFA"/>
    <w:rsid w:val="002E5B3A"/>
    <w:rsid w:val="00497816"/>
    <w:rsid w:val="00605742"/>
    <w:rsid w:val="007A3334"/>
    <w:rsid w:val="007B1124"/>
    <w:rsid w:val="00805C8B"/>
    <w:rsid w:val="009F1ACF"/>
    <w:rsid w:val="00A0644B"/>
    <w:rsid w:val="00B01A51"/>
    <w:rsid w:val="00B947DB"/>
    <w:rsid w:val="00BA4D06"/>
    <w:rsid w:val="00CC1C1F"/>
    <w:rsid w:val="00DD780F"/>
    <w:rsid w:val="00E02AB3"/>
    <w:rsid w:val="00F800B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FF08"/>
  <w15:chartTrackingRefBased/>
  <w15:docId w15:val="{BA2F5838-CA51-4A95-823A-1776DDF0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05C8B"/>
    <w:pPr>
      <w:ind w:left="720"/>
      <w:contextualSpacing/>
    </w:pPr>
  </w:style>
  <w:style w:type="paragraph" w:styleId="En-tte">
    <w:name w:val="header"/>
    <w:basedOn w:val="Normal"/>
    <w:link w:val="En-tteCar"/>
    <w:uiPriority w:val="99"/>
    <w:unhideWhenUsed/>
    <w:rsid w:val="00292FE2"/>
    <w:pPr>
      <w:tabs>
        <w:tab w:val="center" w:pos="4153"/>
        <w:tab w:val="right" w:pos="8306"/>
      </w:tabs>
      <w:spacing w:after="0" w:line="240" w:lineRule="auto"/>
    </w:pPr>
  </w:style>
  <w:style w:type="character" w:customStyle="1" w:styleId="En-tteCar">
    <w:name w:val="En-tête Car"/>
    <w:basedOn w:val="Policepardfaut"/>
    <w:link w:val="En-tte"/>
    <w:uiPriority w:val="99"/>
    <w:rsid w:val="00292FE2"/>
    <w:rPr>
      <w:noProof/>
    </w:rPr>
  </w:style>
  <w:style w:type="paragraph" w:styleId="Pieddepage">
    <w:name w:val="footer"/>
    <w:basedOn w:val="Normal"/>
    <w:link w:val="PieddepageCar"/>
    <w:uiPriority w:val="99"/>
    <w:unhideWhenUsed/>
    <w:rsid w:val="00292FE2"/>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92FE2"/>
    <w:rPr>
      <w:noProof/>
    </w:rPr>
  </w:style>
  <w:style w:type="character" w:styleId="Lienhypertexte">
    <w:name w:val="Hyperlink"/>
    <w:basedOn w:val="Policepardfaut"/>
    <w:uiPriority w:val="99"/>
    <w:unhideWhenUsed/>
    <w:rsid w:val="00605742"/>
    <w:rPr>
      <w:color w:val="0563C1" w:themeColor="hyperlink"/>
      <w:u w:val="single"/>
    </w:rPr>
  </w:style>
  <w:style w:type="character" w:styleId="Mentionnonrsolue">
    <w:name w:val="Unresolved Mention"/>
    <w:basedOn w:val="Policepardfaut"/>
    <w:uiPriority w:val="99"/>
    <w:semiHidden/>
    <w:unhideWhenUsed/>
    <w:rsid w:val="00605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772</Words>
  <Characters>4249</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14</cp:revision>
  <dcterms:created xsi:type="dcterms:W3CDTF">2022-08-17T06:19:00Z</dcterms:created>
  <dcterms:modified xsi:type="dcterms:W3CDTF">2025-10-10T09:04:00Z</dcterms:modified>
</cp:coreProperties>
</file>