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1F5E6" w14:textId="43D35433" w:rsidR="0066659E" w:rsidRPr="0066659E" w:rsidRDefault="0066659E" w:rsidP="0066659E">
      <w:pPr>
        <w:bidi/>
        <w:ind w:left="2832"/>
        <w:jc w:val="both"/>
        <w:rPr>
          <w:rFonts w:ascii="David" w:hAnsi="David" w:cs="David"/>
          <w:noProof/>
          <w:sz w:val="56"/>
          <w:szCs w:val="56"/>
          <w:u w:val="single"/>
          <w:rtl/>
        </w:rPr>
      </w:pPr>
      <w:r w:rsidRPr="0066659E">
        <w:rPr>
          <w:rFonts w:ascii="David" w:hAnsi="David" w:cs="David"/>
          <w:noProof/>
          <w:sz w:val="56"/>
          <w:szCs w:val="56"/>
          <w:u w:val="single"/>
          <w:rtl/>
        </w:rPr>
        <w:t>גדולי ישראל</w:t>
      </w:r>
    </w:p>
    <w:p w14:paraId="6ED29A93" w14:textId="77777777" w:rsidR="0066659E" w:rsidRDefault="0066659E" w:rsidP="0066659E">
      <w:pPr>
        <w:bidi/>
        <w:jc w:val="both"/>
        <w:rPr>
          <w:rFonts w:ascii="David" w:hAnsi="David" w:cs="David"/>
          <w:noProof/>
          <w:sz w:val="28"/>
          <w:szCs w:val="28"/>
          <w:rtl/>
        </w:rPr>
      </w:pPr>
    </w:p>
    <w:p w14:paraId="0ECC42DF" w14:textId="77777777" w:rsidR="0066659E" w:rsidRDefault="0066659E" w:rsidP="0066659E">
      <w:pPr>
        <w:bidi/>
        <w:jc w:val="both"/>
        <w:rPr>
          <w:rFonts w:ascii="David" w:hAnsi="David" w:cs="David"/>
          <w:noProof/>
          <w:sz w:val="28"/>
          <w:szCs w:val="28"/>
          <w:rtl/>
        </w:rPr>
      </w:pPr>
    </w:p>
    <w:p w14:paraId="1E94F976" w14:textId="200319E8" w:rsidR="0066659E" w:rsidRPr="0066659E" w:rsidRDefault="0066659E" w:rsidP="0066659E">
      <w:pPr>
        <w:bidi/>
        <w:jc w:val="both"/>
        <w:rPr>
          <w:rFonts w:ascii="David" w:hAnsi="David" w:cs="David"/>
          <w:noProof/>
          <w:sz w:val="36"/>
          <w:szCs w:val="36"/>
          <w:u w:val="single"/>
          <w:rtl/>
        </w:rPr>
      </w:pPr>
      <w:r w:rsidRPr="0066659E">
        <w:rPr>
          <w:rFonts w:ascii="David" w:hAnsi="David" w:cs="David"/>
          <w:noProof/>
          <w:sz w:val="36"/>
          <w:szCs w:val="36"/>
          <w:u w:val="single"/>
          <w:rtl/>
        </w:rPr>
        <w:t xml:space="preserve">גם אמרו על אסור מותר לא יזיק </w:t>
      </w:r>
    </w:p>
    <w:p w14:paraId="1ECD8920" w14:textId="7788296D" w:rsidR="0066659E" w:rsidRPr="0066659E" w:rsidRDefault="0066659E" w:rsidP="0066659E">
      <w:pPr>
        <w:bidi/>
        <w:jc w:val="both"/>
        <w:rPr>
          <w:rFonts w:ascii="David" w:hAnsi="David" w:cs="David"/>
          <w:noProof/>
          <w:sz w:val="28"/>
          <w:szCs w:val="28"/>
          <w:rtl/>
        </w:rPr>
      </w:pPr>
      <w:r w:rsidRPr="0066659E">
        <w:rPr>
          <w:rFonts w:ascii="David" w:hAnsi="David" w:cs="David"/>
          <w:noProof/>
          <w:sz w:val="28"/>
          <w:szCs w:val="28"/>
          <w:rtl/>
        </w:rPr>
        <w:t xml:space="preserve">כותב </w:t>
      </w:r>
      <w:r w:rsidRPr="0066659E">
        <w:rPr>
          <w:rFonts w:ascii="David" w:hAnsi="David" w:cs="David"/>
          <w:b/>
          <w:bCs/>
          <w:noProof/>
          <w:sz w:val="28"/>
          <w:szCs w:val="28"/>
          <w:rtl/>
        </w:rPr>
        <w:t>הר''ן</w:t>
      </w:r>
      <w:r w:rsidRPr="0066659E">
        <w:rPr>
          <w:rFonts w:ascii="David" w:hAnsi="David" w:cs="David"/>
          <w:noProof/>
          <w:sz w:val="28"/>
          <w:szCs w:val="28"/>
          <w:rtl/>
        </w:rPr>
        <w:t xml:space="preserve"> </w:t>
      </w:r>
      <w:r w:rsidRPr="0066659E">
        <w:rPr>
          <w:rFonts w:ascii="David" w:hAnsi="David" w:cs="David"/>
          <w:noProof/>
          <w:sz w:val="24"/>
          <w:szCs w:val="24"/>
          <w:rtl/>
        </w:rPr>
        <w:t xml:space="preserve">(דרשות הר"ן הדרוש האחד עשר) </w:t>
      </w:r>
      <w:r w:rsidRPr="0066659E">
        <w:rPr>
          <w:rFonts w:ascii="David" w:hAnsi="David" w:cs="David"/>
          <w:noProof/>
          <w:sz w:val="28"/>
          <w:szCs w:val="28"/>
          <w:rtl/>
        </w:rPr>
        <w:t>''ואני סובר עוד, שאי אפשר שימשך ממה שיכריעו הסנהדרין הפסד בנפש כלל, גם כי יאכילו דבר האיסור ושיאמרו בו שהוא מותר. לפי שהתיקון אשר ימשך בנפש מצד ההכרעה למצות החכמים מורי התורה, הוא הדבר היותר אהוב אצלו, כאמרו (ש"א טו כב) הנה שמוע מזבח טוב</w:t>
      </w:r>
      <w:r w:rsidR="00893654">
        <w:rPr>
          <w:rStyle w:val="Appelnotedebasdep"/>
          <w:rFonts w:ascii="David" w:hAnsi="David" w:cs="David"/>
          <w:noProof/>
          <w:sz w:val="28"/>
          <w:szCs w:val="28"/>
          <w:rtl/>
        </w:rPr>
        <w:footnoteReference w:id="1"/>
      </w:r>
      <w:r w:rsidRPr="0066659E">
        <w:rPr>
          <w:rFonts w:ascii="David" w:hAnsi="David" w:cs="David"/>
          <w:noProof/>
          <w:sz w:val="28"/>
          <w:szCs w:val="28"/>
          <w:rtl/>
        </w:rPr>
        <w:t>, ותיקון ההוא יסיר הרוע אשר הוא מעותד להתילד בנפש מצד אכילת הדבר האסור ההוא. וכיוצא בדבר זה בעצמו יקרה בגוף, כי המאכל המזיק, כשיאכלהו האוכל על דעת שמועיל אליו, הנה מחשבתו תפעל באוכל ההוא, ויסור ממנו היזקו, אם לא שיהיה מופלג. כן הענין כשימשך האדם אחר מצות הסנהדרין, גם כי ישיגו ויכירו בדבר האסור שהוא מותר, הימשכו אחר עצתם, והיותו נמשך אחריהם, יסיר מנפשו כל אותו רוע שהיה ראוי שיתילד מצד אכילת הדבר האסור ההוא. ולכן צותה התורה ואמרה לא תסור מן הדבר אשר יגידו אליך ימין ושמאל. והנה נשלם בזה ענין השופטים ותיקונם''.</w:t>
      </w:r>
    </w:p>
    <w:p w14:paraId="3F740C54" w14:textId="0E109EA1" w:rsidR="0066659E" w:rsidRPr="0066659E" w:rsidRDefault="0066659E" w:rsidP="0066659E">
      <w:pPr>
        <w:bidi/>
        <w:jc w:val="both"/>
        <w:rPr>
          <w:rFonts w:ascii="David" w:hAnsi="David" w:cs="David"/>
          <w:sz w:val="28"/>
          <w:szCs w:val="28"/>
        </w:rPr>
      </w:pPr>
    </w:p>
    <w:sectPr w:rsidR="0066659E" w:rsidRPr="0066659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8B4E3" w14:textId="77777777" w:rsidR="00265598" w:rsidRDefault="00265598" w:rsidP="00893654">
      <w:pPr>
        <w:spacing w:after="0" w:line="240" w:lineRule="auto"/>
      </w:pPr>
      <w:r>
        <w:separator/>
      </w:r>
    </w:p>
  </w:endnote>
  <w:endnote w:type="continuationSeparator" w:id="0">
    <w:p w14:paraId="22C660FF" w14:textId="77777777" w:rsidR="00265598" w:rsidRDefault="00265598" w:rsidP="00893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53424" w14:textId="77777777" w:rsidR="00265598" w:rsidRDefault="00265598" w:rsidP="00893654">
      <w:pPr>
        <w:spacing w:after="0" w:line="240" w:lineRule="auto"/>
      </w:pPr>
      <w:r>
        <w:separator/>
      </w:r>
    </w:p>
  </w:footnote>
  <w:footnote w:type="continuationSeparator" w:id="0">
    <w:p w14:paraId="28B2BC74" w14:textId="77777777" w:rsidR="00265598" w:rsidRDefault="00265598" w:rsidP="00893654">
      <w:pPr>
        <w:spacing w:after="0" w:line="240" w:lineRule="auto"/>
      </w:pPr>
      <w:r>
        <w:continuationSeparator/>
      </w:r>
    </w:p>
  </w:footnote>
  <w:footnote w:id="1">
    <w:p w14:paraId="3DAA3302" w14:textId="4919C765" w:rsidR="00893654" w:rsidRPr="00893654" w:rsidRDefault="00893654" w:rsidP="00893654">
      <w:pPr>
        <w:pStyle w:val="Notedebasdepage"/>
        <w:bidi/>
        <w:jc w:val="both"/>
        <w:rPr>
          <w:rFonts w:ascii="David" w:hAnsi="David" w:cs="David"/>
          <w:noProof/>
          <w:rtl/>
        </w:rPr>
      </w:pPr>
      <w:r w:rsidRPr="00893654">
        <w:rPr>
          <w:rStyle w:val="Appelnotedebasdep"/>
          <w:rFonts w:ascii="David" w:hAnsi="David" w:cs="David"/>
          <w:noProof/>
        </w:rPr>
        <w:footnoteRef/>
      </w:r>
      <w:r w:rsidRPr="00893654">
        <w:rPr>
          <w:rFonts w:ascii="David" w:hAnsi="David" w:cs="David"/>
          <w:noProof/>
        </w:rPr>
        <w:t xml:space="preserve"> </w:t>
      </w:r>
      <w:r w:rsidRPr="00893654">
        <w:rPr>
          <w:rFonts w:ascii="David" w:hAnsi="David" w:cs="David"/>
          <w:noProof/>
          <w:rtl/>
        </w:rPr>
        <w:t xml:space="preserve"> ומפרש הרלב''ג ''</w:t>
      </w:r>
      <w:r w:rsidRPr="00893654">
        <w:rPr>
          <w:rFonts w:ascii="David" w:hAnsi="David" w:cs="David"/>
          <w:noProof/>
          <w:rtl/>
        </w:rPr>
        <w:t xml:space="preserve">הנה זה מבואר כי העולות והזבחים יבאו על החטאים כמו שהתבאר בתורה ולזה הוא מבואר כי הוא יותר טוב שישמר אדם מהחטא ולא יצטרך לאלו הקרבנות : </w:t>
      </w:r>
      <w:r w:rsidRPr="00893654">
        <w:rPr>
          <w:rFonts w:ascii="David" w:hAnsi="David" w:cs="David"/>
          <w:b/>
          <w:bCs/>
          <w:noProof/>
          <w:rtl/>
        </w:rPr>
        <w:t>הנה שמוע.</w:t>
      </w:r>
      <w:r w:rsidRPr="00893654">
        <w:rPr>
          <w:rFonts w:ascii="David" w:hAnsi="David" w:cs="David"/>
          <w:noProof/>
          <w:rtl/>
        </w:rPr>
        <w:t xml:space="preserve"> למצו' השם הוא טוב מהבא' הזבח ולהקשיב למצותיו הוא יותר מהקרבת חלב אילים על מזבח ה'</w:t>
      </w:r>
      <w:r w:rsidRPr="00893654">
        <w:rPr>
          <w:rFonts w:ascii="David" w:hAnsi="David" w:cs="David"/>
          <w:noProof/>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59E"/>
    <w:rsid w:val="00265598"/>
    <w:rsid w:val="0066659E"/>
    <w:rsid w:val="0089365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7466"/>
  <w15:chartTrackingRefBased/>
  <w15:docId w15:val="{C9575184-0E6D-4B07-ADD9-937B13C8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89365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93654"/>
    <w:rPr>
      <w:sz w:val="20"/>
      <w:szCs w:val="20"/>
    </w:rPr>
  </w:style>
  <w:style w:type="character" w:styleId="Appelnotedebasdep">
    <w:name w:val="footnote reference"/>
    <w:basedOn w:val="Policepardfaut"/>
    <w:uiPriority w:val="99"/>
    <w:semiHidden/>
    <w:unhideWhenUsed/>
    <w:rsid w:val="008936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8A27D-89F6-4F4A-B69E-C7145F66C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128</Words>
  <Characters>707</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2024-03-21T09:28:00Z</dcterms:created>
  <dcterms:modified xsi:type="dcterms:W3CDTF">2024-03-21T09:36:00Z</dcterms:modified>
</cp:coreProperties>
</file>