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DAF6A" w14:textId="65E38092" w:rsidR="001D2779" w:rsidRPr="0036349C" w:rsidRDefault="0036349C" w:rsidP="0036349C">
      <w:pPr>
        <w:bidi/>
        <w:ind w:left="3540"/>
        <w:jc w:val="both"/>
        <w:rPr>
          <w:rFonts w:ascii="David" w:hAnsi="David" w:cs="David"/>
          <w:sz w:val="56"/>
          <w:szCs w:val="56"/>
          <w:u w:val="single"/>
          <w:rtl/>
        </w:rPr>
      </w:pPr>
      <w:r w:rsidRPr="0036349C">
        <w:rPr>
          <w:rFonts w:ascii="David" w:hAnsi="David" w:cs="David" w:hint="cs"/>
          <w:sz w:val="56"/>
          <w:szCs w:val="56"/>
          <w:u w:val="single"/>
          <w:rtl/>
        </w:rPr>
        <w:t xml:space="preserve">גויים </w:t>
      </w:r>
    </w:p>
    <w:p w14:paraId="16D1D585" w14:textId="77777777" w:rsidR="0036349C" w:rsidRDefault="0036349C" w:rsidP="0036349C">
      <w:pPr>
        <w:bidi/>
        <w:jc w:val="both"/>
        <w:rPr>
          <w:rFonts w:ascii="David" w:hAnsi="David" w:cs="David"/>
          <w:sz w:val="28"/>
          <w:szCs w:val="28"/>
          <w:rtl/>
        </w:rPr>
      </w:pPr>
    </w:p>
    <w:p w14:paraId="10E0F569" w14:textId="77777777" w:rsidR="0036349C" w:rsidRDefault="0036349C" w:rsidP="0036349C">
      <w:pPr>
        <w:bidi/>
        <w:jc w:val="both"/>
        <w:rPr>
          <w:rFonts w:ascii="David" w:hAnsi="David" w:cs="David"/>
          <w:sz w:val="28"/>
          <w:szCs w:val="28"/>
          <w:rtl/>
        </w:rPr>
      </w:pPr>
    </w:p>
    <w:p w14:paraId="7729C173" w14:textId="34B60FF3" w:rsidR="0036349C" w:rsidRPr="0036349C" w:rsidRDefault="0036349C" w:rsidP="0036349C">
      <w:pPr>
        <w:bidi/>
        <w:jc w:val="both"/>
        <w:rPr>
          <w:rFonts w:ascii="David" w:hAnsi="David" w:cs="David"/>
          <w:sz w:val="36"/>
          <w:szCs w:val="36"/>
          <w:u w:val="single"/>
          <w:rtl/>
        </w:rPr>
      </w:pPr>
      <w:r w:rsidRPr="0036349C">
        <w:rPr>
          <w:rFonts w:ascii="David" w:hAnsi="David" w:cs="David" w:hint="cs"/>
          <w:sz w:val="36"/>
          <w:szCs w:val="36"/>
          <w:u w:val="single"/>
          <w:rtl/>
        </w:rPr>
        <w:t>סתם גוי מרבה דברים</w:t>
      </w:r>
    </w:p>
    <w:p w14:paraId="2916BC64" w14:textId="77777777" w:rsidR="0036349C" w:rsidRDefault="0036349C" w:rsidP="0036349C">
      <w:pPr>
        <w:bidi/>
        <w:jc w:val="both"/>
        <w:rPr>
          <w:rFonts w:ascii="David" w:hAnsi="David" w:cs="David"/>
          <w:kern w:val="0"/>
          <w:sz w:val="28"/>
          <w:szCs w:val="28"/>
          <w:rtl/>
          <w14:ligatures w14:val="none"/>
        </w:rPr>
      </w:pPr>
      <w:r w:rsidRPr="0036349C">
        <w:rPr>
          <w:rFonts w:ascii="David" w:hAnsi="David" w:cs="David" w:hint="cs"/>
          <w:kern w:val="0"/>
          <w:sz w:val="28"/>
          <w:szCs w:val="28"/>
          <w:rtl/>
          <w14:ligatures w14:val="none"/>
        </w:rPr>
        <w:t xml:space="preserve">עי' </w:t>
      </w:r>
      <w:r w:rsidRPr="0036349C">
        <w:rPr>
          <w:rFonts w:ascii="David" w:hAnsi="David" w:cs="David" w:hint="cs"/>
          <w:b/>
          <w:bCs/>
          <w:kern w:val="0"/>
          <w:sz w:val="28"/>
          <w:szCs w:val="28"/>
          <w:rtl/>
          <w14:ligatures w14:val="none"/>
        </w:rPr>
        <w:t>המהר''ל</w:t>
      </w:r>
      <w:r w:rsidRPr="0036349C">
        <w:rPr>
          <w:rFonts w:ascii="David" w:hAnsi="David" w:cs="David" w:hint="cs"/>
          <w:kern w:val="0"/>
          <w:sz w:val="28"/>
          <w:szCs w:val="28"/>
          <w:rtl/>
          <w14:ligatures w14:val="none"/>
        </w:rPr>
        <w:t xml:space="preserve"> </w:t>
      </w:r>
      <w:r w:rsidRPr="0036349C">
        <w:rPr>
          <w:rFonts w:ascii="David" w:hAnsi="David" w:cs="David" w:hint="cs"/>
          <w:kern w:val="0"/>
          <w:sz w:val="24"/>
          <w:szCs w:val="24"/>
          <w:rtl/>
          <w14:ligatures w14:val="none"/>
        </w:rPr>
        <w:t>(</w:t>
      </w:r>
      <w:r w:rsidRPr="0036349C">
        <w:rPr>
          <w:rFonts w:ascii="David" w:hAnsi="David" w:cs="David"/>
          <w:kern w:val="0"/>
          <w:sz w:val="24"/>
          <w:szCs w:val="24"/>
          <w:rtl/>
          <w14:ligatures w14:val="none"/>
        </w:rPr>
        <w:t>חידושי אגדות</w:t>
      </w:r>
      <w:r w:rsidRPr="0036349C">
        <w:rPr>
          <w:rFonts w:ascii="David" w:hAnsi="David" w:cs="David" w:hint="cs"/>
          <w:kern w:val="0"/>
          <w:sz w:val="24"/>
          <w:szCs w:val="24"/>
          <w:rtl/>
          <w14:ligatures w14:val="none"/>
        </w:rPr>
        <w:t>)</w:t>
      </w:r>
      <w:r w:rsidRPr="0036349C">
        <w:rPr>
          <w:rFonts w:ascii="David" w:hAnsi="David" w:cs="David"/>
          <w:kern w:val="0"/>
          <w:sz w:val="24"/>
          <w:szCs w:val="24"/>
          <w:rtl/>
          <w14:ligatures w14:val="none"/>
        </w:rPr>
        <w:t xml:space="preserve"> </w:t>
      </w:r>
      <w:r w:rsidRPr="0036349C">
        <w:rPr>
          <w:rFonts w:ascii="David" w:hAnsi="David" w:cs="David" w:hint="cs"/>
          <w:b/>
          <w:bCs/>
          <w:kern w:val="0"/>
          <w:sz w:val="28"/>
          <w:szCs w:val="28"/>
          <w:rtl/>
          <w14:ligatures w14:val="none"/>
        </w:rPr>
        <w:t>ב</w:t>
      </w:r>
      <w:r w:rsidRPr="0036349C">
        <w:rPr>
          <w:rFonts w:ascii="David" w:hAnsi="David" w:cs="David"/>
          <w:b/>
          <w:bCs/>
          <w:kern w:val="0"/>
          <w:sz w:val="28"/>
          <w:szCs w:val="28"/>
          <w:rtl/>
          <w14:ligatures w14:val="none"/>
        </w:rPr>
        <w:t>קידושין</w:t>
      </w:r>
      <w:r w:rsidRPr="0036349C">
        <w:rPr>
          <w:rFonts w:ascii="David" w:hAnsi="David" w:cs="David"/>
          <w:kern w:val="0"/>
          <w:sz w:val="28"/>
          <w:szCs w:val="28"/>
          <w:rtl/>
          <w14:ligatures w14:val="none"/>
        </w:rPr>
        <w:t xml:space="preserve"> </w:t>
      </w:r>
      <w:r w:rsidRPr="0036349C">
        <w:rPr>
          <w:rFonts w:ascii="David" w:hAnsi="David" w:cs="David" w:hint="cs"/>
          <w:kern w:val="0"/>
          <w:sz w:val="24"/>
          <w:szCs w:val="24"/>
          <w:rtl/>
          <w14:ligatures w14:val="none"/>
        </w:rPr>
        <w:t>(</w:t>
      </w:r>
      <w:r w:rsidRPr="0036349C">
        <w:rPr>
          <w:rFonts w:ascii="David" w:hAnsi="David" w:cs="David"/>
          <w:kern w:val="0"/>
          <w:sz w:val="24"/>
          <w:szCs w:val="24"/>
          <w:rtl/>
          <w14:ligatures w14:val="none"/>
        </w:rPr>
        <w:t>דף מט</w:t>
      </w:r>
      <w:r w:rsidRPr="0036349C">
        <w:rPr>
          <w:rFonts w:ascii="David" w:hAnsi="David" w:cs="David" w:hint="cs"/>
          <w:kern w:val="0"/>
          <w:sz w:val="24"/>
          <w:szCs w:val="24"/>
          <w:rtl/>
          <w14:ligatures w14:val="none"/>
        </w:rPr>
        <w:t xml:space="preserve">:) </w:t>
      </w:r>
      <w:r w:rsidRPr="0036349C">
        <w:rPr>
          <w:rFonts w:ascii="David" w:hAnsi="David" w:cs="David" w:hint="cs"/>
          <w:kern w:val="0"/>
          <w:sz w:val="28"/>
          <w:szCs w:val="28"/>
          <w:rtl/>
          <w14:ligatures w14:val="none"/>
        </w:rPr>
        <w:t>''</w:t>
      </w:r>
      <w:r w:rsidRPr="0036349C">
        <w:rPr>
          <w:rFonts w:ascii="David" w:hAnsi="David" w:cs="David"/>
          <w:kern w:val="0"/>
          <w:sz w:val="28"/>
          <w:szCs w:val="28"/>
          <w:rtl/>
          <w14:ligatures w14:val="none"/>
        </w:rPr>
        <w:t>עשרה קבין שיחה וכו'. ידוע כי הנשים מדברות הרבה, ודבר זה להם שכל אשר יש לו מדריגה עליונה יותר הוא פנימי ולא חיצוני, ולכך אינו מרבה דברים כמו הכסיל שהוא מרבה דברים, כי החכמה שמדריגתה עליונה פנימית, ולכך החכם אינו מרבה דברים, אבל הכסיל שאין בו החכמה הפנימית מרבה דברים, וכן הנשים לפי שפלות מדריגתם אשר יש להם מדריגה שפלה נגלית, הם מרבים דברים, וכן הגוים אמרו חכמים (חולין קל"ג ב') סתם גוי מרבה דברים, וכל זה שאין לו מדריגה העליונה הפנימית, רק המדריגה גשמית נגלית ולא פנימית, ולכך הגוי מרבה דברים, ולכך אמרו על הנשים שהם יצאניות (ב"ר פמ"ה) כי תמיד מבקשת הגלוי לחוץ, וכל זה נמשך למדריגת הנשים, ודבר זה פרשנוה בכמה מקומות, ולכך עשרה קבין שיחה ירדו לעולם ט' נטלו נשים</w:t>
      </w:r>
      <w:r w:rsidRPr="0036349C">
        <w:rPr>
          <w:rFonts w:ascii="David" w:hAnsi="David" w:cs="David" w:hint="cs"/>
          <w:kern w:val="0"/>
          <w:sz w:val="28"/>
          <w:szCs w:val="28"/>
          <w:rtl/>
          <w14:ligatures w14:val="none"/>
        </w:rPr>
        <w:t>''</w:t>
      </w:r>
      <w:r w:rsidRPr="0036349C">
        <w:rPr>
          <w:rFonts w:ascii="David" w:hAnsi="David" w:cs="David"/>
          <w:kern w:val="0"/>
          <w:sz w:val="28"/>
          <w:szCs w:val="28"/>
          <w:rtl/>
          <w14:ligatures w14:val="none"/>
        </w:rPr>
        <w:t>.</w:t>
      </w:r>
    </w:p>
    <w:p w14:paraId="2165BCF2" w14:textId="77777777" w:rsidR="00D04E90" w:rsidRDefault="00D04E90" w:rsidP="00D04E90">
      <w:pPr>
        <w:bidi/>
        <w:jc w:val="both"/>
        <w:rPr>
          <w:rFonts w:ascii="David" w:hAnsi="David" w:cs="David"/>
          <w:kern w:val="0"/>
          <w:sz w:val="28"/>
          <w:szCs w:val="28"/>
          <w:rtl/>
          <w14:ligatures w14:val="none"/>
        </w:rPr>
      </w:pPr>
    </w:p>
    <w:p w14:paraId="21D47C98" w14:textId="77777777" w:rsidR="00D04E90" w:rsidRPr="00CC0B05" w:rsidRDefault="00D04E90" w:rsidP="00D04E90">
      <w:pPr>
        <w:bidi/>
        <w:jc w:val="both"/>
        <w:rPr>
          <w:rFonts w:ascii="David" w:hAnsi="David" w:cs="David"/>
          <w:sz w:val="36"/>
          <w:szCs w:val="36"/>
          <w:u w:val="single"/>
          <w:rtl/>
        </w:rPr>
      </w:pPr>
      <w:r w:rsidRPr="00CC0B05">
        <w:rPr>
          <w:rFonts w:ascii="David" w:hAnsi="David" w:cs="David" w:hint="cs"/>
          <w:sz w:val="36"/>
          <w:szCs w:val="36"/>
          <w:u w:val="single"/>
          <w:rtl/>
        </w:rPr>
        <w:t>כשהם ביד גויים אין לך שריפה גדולה מזו</w:t>
      </w:r>
    </w:p>
    <w:p w14:paraId="3116FC50" w14:textId="77777777" w:rsidR="00D04E90" w:rsidRPr="00313CB6" w:rsidRDefault="00D04E90" w:rsidP="00D04E90">
      <w:pPr>
        <w:bidi/>
        <w:jc w:val="both"/>
        <w:rPr>
          <w:rFonts w:ascii="David" w:hAnsi="David" w:cs="David"/>
          <w:sz w:val="28"/>
          <w:szCs w:val="28"/>
          <w:rtl/>
        </w:rPr>
      </w:pPr>
      <w:r>
        <w:rPr>
          <w:rFonts w:ascii="David" w:hAnsi="David" w:cs="David" w:hint="cs"/>
          <w:sz w:val="28"/>
          <w:szCs w:val="28"/>
          <w:rtl/>
        </w:rPr>
        <w:t xml:space="preserve">איתא </w:t>
      </w:r>
      <w:r w:rsidRPr="00313CB6">
        <w:rPr>
          <w:rFonts w:ascii="David" w:hAnsi="David" w:cs="David" w:hint="cs"/>
          <w:b/>
          <w:bCs/>
          <w:sz w:val="28"/>
          <w:szCs w:val="28"/>
          <w:rtl/>
        </w:rPr>
        <w:t>ב</w:t>
      </w:r>
      <w:r w:rsidRPr="00313CB6">
        <w:rPr>
          <w:rFonts w:ascii="David" w:hAnsi="David" w:cs="David"/>
          <w:b/>
          <w:bCs/>
          <w:sz w:val="28"/>
          <w:szCs w:val="28"/>
          <w:rtl/>
        </w:rPr>
        <w:t>שבת</w:t>
      </w:r>
      <w:r w:rsidRPr="00313CB6">
        <w:rPr>
          <w:rFonts w:ascii="David" w:hAnsi="David" w:cs="David"/>
          <w:sz w:val="28"/>
          <w:szCs w:val="28"/>
          <w:rtl/>
        </w:rPr>
        <w:t xml:space="preserve"> </w:t>
      </w:r>
      <w:r w:rsidRPr="00313CB6">
        <w:rPr>
          <w:rFonts w:ascii="David" w:hAnsi="David" w:cs="David" w:hint="cs"/>
          <w:sz w:val="24"/>
          <w:szCs w:val="24"/>
          <w:rtl/>
        </w:rPr>
        <w:t>(</w:t>
      </w:r>
      <w:r w:rsidRPr="00313CB6">
        <w:rPr>
          <w:rFonts w:ascii="David" w:hAnsi="David" w:cs="David"/>
          <w:sz w:val="24"/>
          <w:szCs w:val="24"/>
          <w:rtl/>
        </w:rPr>
        <w:t>דף קטז</w:t>
      </w:r>
      <w:r w:rsidRPr="00313CB6">
        <w:rPr>
          <w:rFonts w:ascii="David" w:hAnsi="David" w:cs="David" w:hint="cs"/>
          <w:sz w:val="24"/>
          <w:szCs w:val="24"/>
          <w:rtl/>
        </w:rPr>
        <w:t xml:space="preserve">.) </w:t>
      </w:r>
      <w:r>
        <w:rPr>
          <w:rFonts w:ascii="David" w:hAnsi="David" w:cs="David" w:hint="cs"/>
          <w:sz w:val="28"/>
          <w:szCs w:val="28"/>
          <w:rtl/>
        </w:rPr>
        <w:t>'</w:t>
      </w:r>
      <w:r w:rsidRPr="00313CB6">
        <w:rPr>
          <w:rFonts w:ascii="David" w:hAnsi="David" w:cs="David" w:hint="cs"/>
          <w:sz w:val="28"/>
          <w:szCs w:val="28"/>
          <w:rtl/>
        </w:rPr>
        <w:t>'</w:t>
      </w:r>
      <w:r w:rsidRPr="00313CB6">
        <w:rPr>
          <w:rFonts w:ascii="David" w:hAnsi="David" w:cs="David"/>
          <w:sz w:val="28"/>
          <w:szCs w:val="28"/>
          <w:rtl/>
        </w:rPr>
        <w:t>הני ספרי דבי אבידן מצילין אותן מפני הדליקה או אין מצילין</w:t>
      </w:r>
      <w:r>
        <w:rPr>
          <w:rFonts w:ascii="David" w:hAnsi="David" w:cs="David" w:hint="cs"/>
          <w:sz w:val="28"/>
          <w:szCs w:val="28"/>
          <w:rtl/>
        </w:rPr>
        <w:t>''</w:t>
      </w:r>
    </w:p>
    <w:p w14:paraId="59DA630D" w14:textId="77777777" w:rsidR="00D04E90" w:rsidRDefault="00D04E90" w:rsidP="00D04E90">
      <w:pPr>
        <w:bidi/>
        <w:jc w:val="both"/>
        <w:rPr>
          <w:rFonts w:ascii="David" w:hAnsi="David" w:cs="David"/>
          <w:sz w:val="28"/>
          <w:szCs w:val="28"/>
          <w:rtl/>
        </w:rPr>
      </w:pPr>
      <w:r>
        <w:rPr>
          <w:rFonts w:ascii="David" w:hAnsi="David" w:cs="David" w:hint="cs"/>
          <w:sz w:val="28"/>
          <w:szCs w:val="28"/>
          <w:rtl/>
        </w:rPr>
        <w:t xml:space="preserve">וכותב </w:t>
      </w:r>
      <w:r w:rsidRPr="00CC0B05">
        <w:rPr>
          <w:rFonts w:ascii="David" w:hAnsi="David" w:cs="David" w:hint="cs"/>
          <w:b/>
          <w:bCs/>
          <w:sz w:val="28"/>
          <w:szCs w:val="28"/>
          <w:rtl/>
        </w:rPr>
        <w:t>הריטב''א</w:t>
      </w:r>
      <w:r>
        <w:rPr>
          <w:rFonts w:ascii="David" w:hAnsi="David" w:cs="David" w:hint="cs"/>
          <w:sz w:val="28"/>
          <w:szCs w:val="28"/>
          <w:rtl/>
        </w:rPr>
        <w:t xml:space="preserve"> ''</w:t>
      </w:r>
      <w:r w:rsidRPr="00592741">
        <w:rPr>
          <w:rFonts w:ascii="David" w:hAnsi="David" w:cs="David"/>
          <w:sz w:val="28"/>
          <w:szCs w:val="28"/>
          <w:rtl/>
        </w:rPr>
        <w:t xml:space="preserve">עיקר הפירוש כדפירש </w:t>
      </w:r>
      <w:r w:rsidRPr="00313CB6">
        <w:rPr>
          <w:rFonts w:ascii="David" w:hAnsi="David" w:cs="David"/>
          <w:b/>
          <w:bCs/>
          <w:sz w:val="28"/>
          <w:szCs w:val="28"/>
          <w:rtl/>
        </w:rPr>
        <w:t>ר"ח</w:t>
      </w:r>
      <w:r w:rsidRPr="00592741">
        <w:rPr>
          <w:rFonts w:ascii="David" w:hAnsi="David" w:cs="David"/>
          <w:sz w:val="28"/>
          <w:szCs w:val="28"/>
          <w:rtl/>
        </w:rPr>
        <w:t xml:space="preserve"> ז"ל דבי אבידן היה מקום קיבוץ לחכמי האומות שמתעסקין בעניני חכמות והאמונות ומתקבצין שם כל החכמות וספרי האמונות ויש להם כתבי הקדש, וספק לנו אם כתבו ישראל, אי נמי פשיטא לן דישראל כתבו, </w:t>
      </w:r>
      <w:r w:rsidRPr="00592741">
        <w:rPr>
          <w:rFonts w:ascii="David" w:hAnsi="David" w:cs="David"/>
          <w:sz w:val="28"/>
          <w:szCs w:val="28"/>
          <w:u w:val="single"/>
          <w:rtl/>
        </w:rPr>
        <w:t>אלא הא מספקא לן מי אמרינן כיון שהספרים שלהם נשתקעו בידם אין מצילין שאין לך דליקה גדולה ממה שהם ברשותם</w:t>
      </w:r>
      <w:r w:rsidRPr="00592741">
        <w:rPr>
          <w:rFonts w:ascii="David" w:hAnsi="David" w:cs="David"/>
          <w:sz w:val="28"/>
          <w:szCs w:val="28"/>
          <w:rtl/>
        </w:rPr>
        <w:t>, או דילמא מצילין דכתבי הקדש הוי ומאי דאפשר למעבד להו מהצלה עבדינן הואיל ונכתבו בקדושה.</w:t>
      </w:r>
    </w:p>
    <w:p w14:paraId="279F7020" w14:textId="77777777" w:rsidR="00666EA4" w:rsidRDefault="00666EA4" w:rsidP="00666EA4">
      <w:pPr>
        <w:bidi/>
        <w:jc w:val="both"/>
        <w:rPr>
          <w:rFonts w:ascii="David" w:hAnsi="David" w:cs="David"/>
          <w:sz w:val="28"/>
          <w:szCs w:val="28"/>
          <w:rtl/>
        </w:rPr>
      </w:pPr>
    </w:p>
    <w:p w14:paraId="37D39575" w14:textId="6AC8A89C" w:rsidR="00666EA4" w:rsidRDefault="00666EA4" w:rsidP="00666EA4">
      <w:pPr>
        <w:bidi/>
        <w:spacing w:after="200" w:line="276" w:lineRule="auto"/>
        <w:jc w:val="both"/>
        <w:rPr>
          <w:rFonts w:ascii="David" w:eastAsia="Rockwell" w:hAnsi="David" w:cs="David"/>
          <w:kern w:val="0"/>
          <w:sz w:val="36"/>
          <w:szCs w:val="36"/>
          <w:u w:val="single"/>
          <w:rtl/>
          <w14:ligatures w14:val="none"/>
        </w:rPr>
      </w:pPr>
      <w:r>
        <w:rPr>
          <w:rFonts w:ascii="David" w:eastAsia="Rockwell" w:hAnsi="David" w:cs="David" w:hint="cs"/>
          <w:kern w:val="0"/>
          <w:sz w:val="36"/>
          <w:szCs w:val="36"/>
          <w:u w:val="single"/>
          <w:rtl/>
          <w14:ligatures w14:val="none"/>
        </w:rPr>
        <w:t>הגויים מקבלים שכר על שבע מצוות כאינם מצווים ועושים</w:t>
      </w:r>
    </w:p>
    <w:p w14:paraId="4E502E38" w14:textId="3598892F" w:rsidR="00666EA4" w:rsidRPr="00666EA4" w:rsidRDefault="00666EA4" w:rsidP="00666EA4">
      <w:pPr>
        <w:bidi/>
        <w:spacing w:after="200" w:line="276" w:lineRule="auto"/>
        <w:jc w:val="both"/>
        <w:rPr>
          <w:rFonts w:ascii="David" w:eastAsia="Rockwell" w:hAnsi="David" w:cs="David"/>
          <w:kern w:val="0"/>
          <w:sz w:val="28"/>
          <w:szCs w:val="28"/>
          <w:rtl/>
          <w14:ligatures w14:val="none"/>
        </w:rPr>
      </w:pPr>
      <w:r w:rsidRPr="00666EA4">
        <w:rPr>
          <w:rFonts w:ascii="David" w:eastAsia="Rockwell" w:hAnsi="David" w:cs="David"/>
          <w:kern w:val="0"/>
          <w:sz w:val="28"/>
          <w:szCs w:val="28"/>
          <w:rtl/>
          <w14:ligatures w14:val="none"/>
        </w:rPr>
        <w:t xml:space="preserve">איתא </w:t>
      </w:r>
      <w:r w:rsidRPr="00666EA4">
        <w:rPr>
          <w:rFonts w:ascii="David" w:eastAsia="Rockwell" w:hAnsi="David" w:cs="David"/>
          <w:b/>
          <w:bCs/>
          <w:kern w:val="0"/>
          <w:sz w:val="28"/>
          <w:szCs w:val="28"/>
          <w:rtl/>
          <w14:ligatures w14:val="none"/>
        </w:rPr>
        <w:t>בב''ק</w:t>
      </w:r>
      <w:r w:rsidRPr="00666EA4">
        <w:rPr>
          <w:rFonts w:ascii="David" w:eastAsia="Rockwell" w:hAnsi="David" w:cs="David"/>
          <w:kern w:val="0"/>
          <w:sz w:val="28"/>
          <w:szCs w:val="28"/>
          <w:rtl/>
          <w14:ligatures w14:val="none"/>
        </w:rPr>
        <w:t xml:space="preserve"> </w:t>
      </w:r>
      <w:r w:rsidRPr="00666EA4">
        <w:rPr>
          <w:rFonts w:ascii="David" w:eastAsia="Rockwell" w:hAnsi="David" w:cs="David"/>
          <w:kern w:val="0"/>
          <w:sz w:val="24"/>
          <w:szCs w:val="24"/>
          <w:rtl/>
          <w14:ligatures w14:val="none"/>
        </w:rPr>
        <w:t xml:space="preserve">(דף לח.) </w:t>
      </w:r>
      <w:r w:rsidRPr="00666EA4">
        <w:rPr>
          <w:rFonts w:ascii="David" w:eastAsia="Rockwell" w:hAnsi="David" w:cs="David"/>
          <w:kern w:val="0"/>
          <w:sz w:val="28"/>
          <w:szCs w:val="28"/>
          <w:rtl/>
          <w14:ligatures w14:val="none"/>
        </w:rPr>
        <w:t xml:space="preserve">''מאי </w:t>
      </w:r>
      <w:r w:rsidRPr="00666EA4">
        <w:rPr>
          <w:rFonts w:ascii="David" w:eastAsia="Rockwell" w:hAnsi="David" w:cs="David"/>
          <w:b/>
          <w:bCs/>
          <w:kern w:val="0"/>
          <w:sz w:val="28"/>
          <w:szCs w:val="28"/>
          <w:rtl/>
          <w14:ligatures w14:val="none"/>
        </w:rPr>
        <w:t>דרב יוסף</w:t>
      </w:r>
      <w:r w:rsidRPr="00666EA4">
        <w:rPr>
          <w:rFonts w:ascii="David" w:eastAsia="Rockwell" w:hAnsi="David" w:cs="David"/>
          <w:kern w:val="0"/>
          <w:sz w:val="28"/>
          <w:szCs w:val="28"/>
          <w:rtl/>
          <w14:ligatures w14:val="none"/>
        </w:rPr>
        <w:t xml:space="preserve">? </w:t>
      </w:r>
      <w:r w:rsidRPr="00666EA4">
        <w:rPr>
          <w:rFonts w:ascii="David" w:eastAsia="Rockwell" w:hAnsi="David" w:cs="David"/>
          <w:b/>
          <w:bCs/>
          <w:kern w:val="0"/>
          <w:sz w:val="28"/>
          <w:szCs w:val="28"/>
          <w:rtl/>
          <w14:ligatures w14:val="none"/>
        </w:rPr>
        <w:t>דא"ר יוסף</w:t>
      </w:r>
      <w:r w:rsidRPr="00666EA4">
        <w:rPr>
          <w:rFonts w:ascii="David" w:eastAsia="Rockwell" w:hAnsi="David" w:cs="David"/>
          <w:kern w:val="0"/>
          <w:sz w:val="28"/>
          <w:szCs w:val="28"/>
          <w:rtl/>
          <w14:ligatures w14:val="none"/>
        </w:rPr>
        <w:t xml:space="preserve"> עמד וימודד ארץ ראה וכו' - מה ראה? ראה שבע מצות שקיבלו עליהם בני נח ולא קיימום, עמד והתירן להם. איתגורי אתגר? א"כ, מצינו חוטא נשכר! אמר מר בריה דרבנא: לומר, שאפילו מקיימין אותן אין מקבלין עליהן שכר. ולא? והתניא, ר"מ אומר: מנין שאפילו נכרי ועוסק בתורה שהוא ככהן גדול? ת"ל: אשר יעשה אותם האדם וחי בהם, כהנים ולוים וישראלים לא נאמר אלא אדם, הא למדת, שאפילו נכרי ועוסק בתורה הרי הוא ככהן גדול! אמרי: אין מקבלים עליהן שכר כמצווה ועושה אלא כמי שאינו מצווה ועושה, </w:t>
      </w:r>
      <w:r w:rsidRPr="00666EA4">
        <w:rPr>
          <w:rFonts w:ascii="David" w:eastAsia="Rockwell" w:hAnsi="David" w:cs="David"/>
          <w:b/>
          <w:bCs/>
          <w:kern w:val="0"/>
          <w:sz w:val="28"/>
          <w:szCs w:val="28"/>
          <w:rtl/>
          <w14:ligatures w14:val="none"/>
        </w:rPr>
        <w:t>דא"ר חנינא</w:t>
      </w:r>
      <w:r w:rsidRPr="00666EA4">
        <w:rPr>
          <w:rFonts w:ascii="David" w:eastAsia="Rockwell" w:hAnsi="David" w:cs="David"/>
          <w:kern w:val="0"/>
          <w:sz w:val="28"/>
          <w:szCs w:val="28"/>
          <w:rtl/>
          <w14:ligatures w14:val="none"/>
        </w:rPr>
        <w:t xml:space="preserve"> גדול המצווה ועושה יותר ממי שאינו מצווה ועושה''.</w:t>
      </w:r>
    </w:p>
    <w:p w14:paraId="7509FEF8" w14:textId="77777777" w:rsidR="00666EA4" w:rsidRPr="00666EA4" w:rsidRDefault="00666EA4" w:rsidP="00666EA4">
      <w:pPr>
        <w:bidi/>
        <w:spacing w:after="200" w:line="276" w:lineRule="auto"/>
        <w:jc w:val="both"/>
        <w:rPr>
          <w:rFonts w:ascii="David" w:eastAsia="Rockwell" w:hAnsi="David" w:cs="David"/>
          <w:kern w:val="0"/>
          <w:sz w:val="28"/>
          <w:szCs w:val="28"/>
          <w14:ligatures w14:val="none"/>
        </w:rPr>
      </w:pPr>
      <w:r w:rsidRPr="00666EA4">
        <w:rPr>
          <w:rFonts w:ascii="David" w:eastAsia="Rockwell" w:hAnsi="David" w:cs="David"/>
          <w:kern w:val="0"/>
          <w:sz w:val="28"/>
          <w:szCs w:val="28"/>
          <w:rtl/>
          <w14:ligatures w14:val="none"/>
        </w:rPr>
        <w:t xml:space="preserve">וכותב </w:t>
      </w:r>
      <w:r w:rsidRPr="00666EA4">
        <w:rPr>
          <w:rFonts w:ascii="David" w:eastAsia="Rockwell" w:hAnsi="David" w:cs="David"/>
          <w:b/>
          <w:bCs/>
          <w:kern w:val="0"/>
          <w:sz w:val="28"/>
          <w:szCs w:val="28"/>
          <w:rtl/>
          <w14:ligatures w14:val="none"/>
        </w:rPr>
        <w:t>המרומי שדה</w:t>
      </w:r>
      <w:r w:rsidRPr="00666EA4">
        <w:rPr>
          <w:rFonts w:ascii="David" w:eastAsia="Rockwell" w:hAnsi="David" w:cs="David"/>
          <w:kern w:val="0"/>
          <w:sz w:val="28"/>
          <w:szCs w:val="28"/>
          <w:rtl/>
          <w14:ligatures w14:val="none"/>
        </w:rPr>
        <w:t xml:space="preserve"> </w:t>
      </w:r>
      <w:r w:rsidRPr="00666EA4">
        <w:rPr>
          <w:rFonts w:ascii="David" w:eastAsia="Rockwell" w:hAnsi="David" w:cs="David"/>
          <w:kern w:val="0"/>
          <w:sz w:val="24"/>
          <w:szCs w:val="24"/>
          <w:rtl/>
          <w14:ligatures w14:val="none"/>
        </w:rPr>
        <w:t xml:space="preserve">(שם) </w:t>
      </w:r>
      <w:r w:rsidRPr="00666EA4">
        <w:rPr>
          <w:rFonts w:ascii="David" w:eastAsia="Rockwell" w:hAnsi="David" w:cs="David"/>
          <w:kern w:val="0"/>
          <w:sz w:val="28"/>
          <w:szCs w:val="28"/>
          <w:rtl/>
          <w14:ligatures w14:val="none"/>
        </w:rPr>
        <w:t xml:space="preserve">אמרו אין מקבלים עליהם שכר כו'. לכאורה הוא פלא אמאי הא באמת הם מצווין, ואין הקדוש ברוך הוא עושה עול ח"ו. ותו האיך מרומז בלשון המקרא ראה ויתר גוים שאין מקבלין שכר כמצווין. </w:t>
      </w:r>
      <w:r w:rsidRPr="00666EA4">
        <w:rPr>
          <w:rFonts w:ascii="David" w:eastAsia="Rockwell" w:hAnsi="David" w:cs="David"/>
          <w:kern w:val="0"/>
          <w:sz w:val="28"/>
          <w:szCs w:val="28"/>
          <w:u w:val="single"/>
          <w:rtl/>
          <w14:ligatures w14:val="none"/>
        </w:rPr>
        <w:t xml:space="preserve">אבל הכוונה </w:t>
      </w:r>
      <w:bookmarkStart w:id="0" w:name="_Hlk153648666"/>
      <w:r w:rsidRPr="00666EA4">
        <w:rPr>
          <w:rFonts w:ascii="David" w:eastAsia="Rockwell" w:hAnsi="David" w:cs="David"/>
          <w:kern w:val="0"/>
          <w:sz w:val="28"/>
          <w:szCs w:val="28"/>
          <w:u w:val="single"/>
          <w:rtl/>
          <w14:ligatures w14:val="none"/>
        </w:rPr>
        <w:t xml:space="preserve">דשכר ועונש אינו כעונש המלך שהוא ברצון, אלא בטבע </w:t>
      </w:r>
      <w:bookmarkEnd w:id="0"/>
      <w:r w:rsidRPr="00666EA4">
        <w:rPr>
          <w:rFonts w:ascii="David" w:eastAsia="Rockwell" w:hAnsi="David" w:cs="David"/>
          <w:kern w:val="0"/>
          <w:sz w:val="28"/>
          <w:szCs w:val="28"/>
          <w:u w:val="single"/>
          <w:rtl/>
          <w14:ligatures w14:val="none"/>
        </w:rPr>
        <w:t>חקי התורה והעולם</w:t>
      </w:r>
      <w:r w:rsidRPr="00666EA4">
        <w:rPr>
          <w:rFonts w:ascii="David" w:eastAsia="Rockwell" w:hAnsi="David" w:cs="David"/>
          <w:kern w:val="0"/>
          <w:sz w:val="28"/>
          <w:szCs w:val="28"/>
          <w:rtl/>
          <w14:ligatures w14:val="none"/>
        </w:rPr>
        <w:t xml:space="preserve">, וכדאי' ברבה פ' ראה משעה שאמר הקדוש ברוך הוא ראה אנכי נותן לפניכם היום, שוב לא עשה הקדוש ברוך הוא, אלא המצות עושות שלהן ועבירות עושות שלהן, שנא' מפי עליון לא תצא הרעות. והפי' דשכר ועונש, הן כטבעי </w:t>
      </w:r>
      <w:r w:rsidRPr="00666EA4">
        <w:rPr>
          <w:rFonts w:ascii="David" w:eastAsia="Rockwell" w:hAnsi="David" w:cs="David"/>
          <w:kern w:val="0"/>
          <w:sz w:val="28"/>
          <w:szCs w:val="28"/>
          <w:rtl/>
          <w14:ligatures w14:val="none"/>
        </w:rPr>
        <w:lastRenderedPageBreak/>
        <w:t>המאכלים המבריא והמזיק, שאינו בתורת עונש אלא בטבע, וא"כ ה"ה כרפואה שאין נפ"מ בין ישראל לגוי. מיהו מכ"מ יש נפ"מ כשהרופא הולך אל בנו או אל אחר, אף על גב דרפואה אחת היא מכ"מ יש נפ"מ בתקוני הרפואה והפתויים שיקח החולה את הרפואה, היינו דההולך לבנו משתדל הרופא להמתיק מרירות הרפואה, משא"כ כשהולך לאחר. כן התורה משתדלת לישראל להצילם מן החטא ע"י עסק התורה, משא"כ בנכרי. ועוד נפ"מ דהרופא שהולך לבנו מפתה את בנו שיקח הרפואה ומבטיחו שיתן לו מתנה, משא"כ באחר. וכשהבן שומר צוואת אביו מלבד שהוא מתרפא עוד הוא מקבל שכרו משלם, לא כן באחר. כן ישראל המקיים את המצות מקבל שכר המצוה לבד טבעה, וכדתנן שכר מצוה מצוה, שמהנה כב"י את הקדוש ברוך הוא במה שמקיים את העולם ע"י המצוה. משא"כ בגוי אינו מקיים את העולם בזה אלא שמציל את נפשו, משו"ה אינו מקבל שכר כמצווין ועושין, היינו כרופא שמזהיר ומבקש לבנו שיקח הרפואה כדי שיתרפא. אלא כאינן מצווין, היינו כרופא שנותן לאחר, אינו מדבר ומבטיח מאומה אלא תולה ברצון החולה. והיינו דכתיב ראה ויתר גוים, התיר להם שיעשו כמו שירצו, או לקבל שכר או עונש, שאין קיום העולם תלוי בהם''.</w:t>
      </w:r>
    </w:p>
    <w:p w14:paraId="1B876E20" w14:textId="77777777" w:rsidR="00666EA4" w:rsidRPr="00666EA4" w:rsidRDefault="00666EA4" w:rsidP="00666EA4">
      <w:pPr>
        <w:bidi/>
        <w:spacing w:line="256" w:lineRule="auto"/>
        <w:jc w:val="both"/>
        <w:rPr>
          <w:rFonts w:ascii="David" w:eastAsia="Calibri" w:hAnsi="David" w:cs="David"/>
          <w:kern w:val="0"/>
          <w:sz w:val="28"/>
          <w:szCs w:val="28"/>
          <w:rtl/>
          <w14:ligatures w14:val="none"/>
        </w:rPr>
      </w:pPr>
    </w:p>
    <w:p w14:paraId="6BDCC1D7" w14:textId="77777777" w:rsidR="00666EA4" w:rsidRPr="00313CB6" w:rsidRDefault="00666EA4" w:rsidP="00666EA4">
      <w:pPr>
        <w:bidi/>
        <w:jc w:val="both"/>
        <w:rPr>
          <w:rFonts w:ascii="David" w:hAnsi="David" w:cs="David"/>
          <w:sz w:val="28"/>
          <w:szCs w:val="28"/>
        </w:rPr>
      </w:pPr>
    </w:p>
    <w:p w14:paraId="5D63B526" w14:textId="77777777" w:rsidR="00D04E90" w:rsidRPr="0036349C" w:rsidRDefault="00D04E90" w:rsidP="00D04E90">
      <w:pPr>
        <w:bidi/>
        <w:jc w:val="both"/>
        <w:rPr>
          <w:rFonts w:ascii="David" w:hAnsi="David" w:cs="David"/>
          <w:kern w:val="0"/>
          <w:sz w:val="28"/>
          <w:szCs w:val="28"/>
          <w:rtl/>
          <w14:ligatures w14:val="none"/>
        </w:rPr>
      </w:pPr>
    </w:p>
    <w:p w14:paraId="68460C5C" w14:textId="77777777" w:rsidR="0036349C" w:rsidRPr="0036349C" w:rsidRDefault="0036349C" w:rsidP="0036349C">
      <w:pPr>
        <w:bidi/>
        <w:jc w:val="both"/>
        <w:rPr>
          <w:rFonts w:ascii="David" w:hAnsi="David" w:cs="David"/>
          <w:kern w:val="0"/>
          <w:sz w:val="28"/>
          <w:szCs w:val="28"/>
          <w14:ligatures w14:val="none"/>
        </w:rPr>
      </w:pPr>
    </w:p>
    <w:p w14:paraId="4BF046E4" w14:textId="77777777" w:rsidR="0036349C" w:rsidRPr="0036349C" w:rsidRDefault="0036349C" w:rsidP="0036349C">
      <w:pPr>
        <w:bidi/>
        <w:jc w:val="both"/>
        <w:rPr>
          <w:rFonts w:ascii="David" w:hAnsi="David" w:cs="David"/>
          <w:sz w:val="28"/>
          <w:szCs w:val="28"/>
        </w:rPr>
      </w:pPr>
    </w:p>
    <w:sectPr w:rsidR="0036349C" w:rsidRPr="003634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9C"/>
    <w:rsid w:val="001D2779"/>
    <w:rsid w:val="0036349C"/>
    <w:rsid w:val="00666EA4"/>
    <w:rsid w:val="00D04E9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03CB1"/>
  <w15:chartTrackingRefBased/>
  <w15:docId w15:val="{61C6CDC9-BD17-4DF0-8CFC-1D60C273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10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513</Words>
  <Characters>2825</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2023-08-10T11:43:00Z</dcterms:created>
  <dcterms:modified xsi:type="dcterms:W3CDTF">2023-12-16T18:22:00Z</dcterms:modified>
</cp:coreProperties>
</file>