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3E2D3" w14:textId="35A51828" w:rsidR="001D2779" w:rsidRPr="00EA3E08" w:rsidRDefault="00EA3E08" w:rsidP="00EA3E08">
      <w:pPr>
        <w:bidi/>
        <w:ind w:left="3540"/>
        <w:jc w:val="both"/>
        <w:rPr>
          <w:rFonts w:ascii="David" w:hAnsi="David" w:cs="David"/>
          <w:sz w:val="56"/>
          <w:szCs w:val="56"/>
          <w:u w:val="single"/>
          <w:rtl/>
        </w:rPr>
      </w:pPr>
      <w:r w:rsidRPr="00EA3E08">
        <w:rPr>
          <w:rFonts w:ascii="David" w:hAnsi="David" w:cs="David" w:hint="cs"/>
          <w:sz w:val="56"/>
          <w:szCs w:val="56"/>
          <w:u w:val="single"/>
          <w:rtl/>
        </w:rPr>
        <w:t>גנאי</w:t>
      </w:r>
    </w:p>
    <w:p w14:paraId="22D7A6AA" w14:textId="77777777" w:rsidR="00EA3E08" w:rsidRDefault="00EA3E08" w:rsidP="00EA3E08">
      <w:pPr>
        <w:bidi/>
        <w:jc w:val="both"/>
        <w:rPr>
          <w:rFonts w:ascii="David" w:hAnsi="David" w:cs="David"/>
          <w:sz w:val="28"/>
          <w:szCs w:val="28"/>
          <w:rtl/>
        </w:rPr>
      </w:pPr>
    </w:p>
    <w:p w14:paraId="110535FE" w14:textId="77777777" w:rsidR="00EA3E08" w:rsidRDefault="00EA3E08" w:rsidP="00EA3E08">
      <w:pPr>
        <w:bidi/>
        <w:jc w:val="both"/>
        <w:rPr>
          <w:rFonts w:ascii="David" w:hAnsi="David" w:cs="David"/>
          <w:sz w:val="28"/>
          <w:szCs w:val="28"/>
          <w:rtl/>
        </w:rPr>
      </w:pPr>
    </w:p>
    <w:p w14:paraId="47DD933D" w14:textId="73D0D467" w:rsidR="00EA3E08" w:rsidRDefault="00EA3E08" w:rsidP="00EA3E08">
      <w:pPr>
        <w:bidi/>
        <w:jc w:val="both"/>
        <w:rPr>
          <w:rFonts w:ascii="David" w:hAnsi="David" w:cs="David"/>
          <w:sz w:val="28"/>
          <w:szCs w:val="28"/>
          <w:rtl/>
        </w:rPr>
      </w:pPr>
      <w:r>
        <w:rPr>
          <w:rFonts w:ascii="David" w:hAnsi="David" w:cs="David" w:hint="cs"/>
          <w:sz w:val="28"/>
          <w:szCs w:val="28"/>
          <w:rtl/>
        </w:rPr>
        <w:t xml:space="preserve">איתא </w:t>
      </w:r>
      <w:r w:rsidRPr="00EA3E08">
        <w:rPr>
          <w:rFonts w:ascii="David" w:hAnsi="David" w:cs="David" w:hint="cs"/>
          <w:b/>
          <w:bCs/>
          <w:sz w:val="28"/>
          <w:szCs w:val="28"/>
          <w:rtl/>
        </w:rPr>
        <w:t>בב''ק</w:t>
      </w:r>
      <w:r>
        <w:rPr>
          <w:rFonts w:ascii="David" w:hAnsi="David" w:cs="David" w:hint="cs"/>
          <w:sz w:val="28"/>
          <w:szCs w:val="28"/>
          <w:rtl/>
        </w:rPr>
        <w:t xml:space="preserve"> </w:t>
      </w:r>
      <w:r w:rsidRPr="00EA3E08">
        <w:rPr>
          <w:rFonts w:ascii="David" w:hAnsi="David" w:cs="David" w:hint="cs"/>
          <w:sz w:val="24"/>
          <w:szCs w:val="24"/>
          <w:rtl/>
        </w:rPr>
        <w:t xml:space="preserve">(דף צב:) </w:t>
      </w:r>
      <w:r>
        <w:rPr>
          <w:rFonts w:ascii="David" w:hAnsi="David" w:cs="David" w:hint="cs"/>
          <w:sz w:val="28"/>
          <w:szCs w:val="28"/>
          <w:rtl/>
        </w:rPr>
        <w:t>''</w:t>
      </w:r>
      <w:r w:rsidRPr="00EA3E08">
        <w:rPr>
          <w:rFonts w:ascii="David" w:hAnsi="David" w:cs="David"/>
          <w:sz w:val="28"/>
          <w:szCs w:val="28"/>
          <w:rtl/>
        </w:rPr>
        <w:t xml:space="preserve">א''ל </w:t>
      </w:r>
      <w:r w:rsidRPr="00EA3E08">
        <w:rPr>
          <w:rFonts w:ascii="David" w:hAnsi="David" w:cs="David"/>
          <w:b/>
          <w:bCs/>
          <w:sz w:val="28"/>
          <w:szCs w:val="28"/>
          <w:rtl/>
        </w:rPr>
        <w:t>רבא לרבה בר מרי</w:t>
      </w:r>
      <w:r w:rsidRPr="00EA3E08">
        <w:rPr>
          <w:rFonts w:ascii="David" w:hAnsi="David" w:cs="David"/>
          <w:sz w:val="28"/>
          <w:szCs w:val="28"/>
          <w:rtl/>
        </w:rPr>
        <w:t xml:space="preserve"> מנא הא מילתא דאמור רבנן חברך קרייך חמרא אוכפא לגביך מוש א''ל דכתיב ויאמר הגר שפחת שרי אי מזה באת ואנה תלכי ותאמר מפני שרי גברתי אנכי בורחת</w:t>
      </w:r>
      <w:r>
        <w:rPr>
          <w:rFonts w:ascii="David" w:hAnsi="David" w:cs="David" w:hint="cs"/>
          <w:sz w:val="28"/>
          <w:szCs w:val="28"/>
          <w:rtl/>
        </w:rPr>
        <w:t>''.</w:t>
      </w:r>
    </w:p>
    <w:p w14:paraId="3E6CDD96" w14:textId="009A75B3" w:rsidR="00EA3E08" w:rsidRDefault="00EA3E08" w:rsidP="00EA3E08">
      <w:pPr>
        <w:bidi/>
        <w:jc w:val="both"/>
        <w:rPr>
          <w:rFonts w:ascii="David" w:hAnsi="David" w:cs="David"/>
          <w:sz w:val="28"/>
          <w:szCs w:val="28"/>
          <w:rtl/>
        </w:rPr>
      </w:pPr>
      <w:r w:rsidRPr="00EA3E08">
        <w:rPr>
          <w:rFonts w:ascii="David" w:hAnsi="David" w:cs="David" w:hint="cs"/>
          <w:sz w:val="28"/>
          <w:szCs w:val="28"/>
          <w:rtl/>
        </w:rPr>
        <w:t>וכותב</w:t>
      </w:r>
      <w:r>
        <w:rPr>
          <w:rFonts w:ascii="David" w:hAnsi="David" w:cs="David" w:hint="cs"/>
          <w:b/>
          <w:bCs/>
          <w:sz w:val="28"/>
          <w:szCs w:val="28"/>
          <w:rtl/>
        </w:rPr>
        <w:t xml:space="preserve"> רש''י </w:t>
      </w:r>
      <w:r w:rsidRPr="00EA3E08">
        <w:rPr>
          <w:rFonts w:ascii="David" w:hAnsi="David" w:cs="David" w:hint="cs"/>
          <w:sz w:val="28"/>
          <w:szCs w:val="28"/>
          <w:rtl/>
        </w:rPr>
        <w:t>''</w:t>
      </w:r>
      <w:r w:rsidRPr="00EA3E08">
        <w:rPr>
          <w:rFonts w:ascii="David" w:hAnsi="David" w:cs="David"/>
          <w:sz w:val="28"/>
          <w:szCs w:val="28"/>
          <w:rtl/>
        </w:rPr>
        <w:t>אוכפא לגביך מוש. כלומר טול אוכף של חמור והסירהו אליך ושים אותו על גביך כלומר הודה לדבריו ואל תענהו. מוש לשון לא ימיש (שמות יג) כלומר הסירהו אליך כמו סורו נא (בראשית יט): שפחת שרי. אמר לה והיא ענתה שרי גברתי</w:t>
      </w:r>
      <w:r>
        <w:rPr>
          <w:rFonts w:ascii="David" w:hAnsi="David" w:cs="David" w:hint="cs"/>
          <w:sz w:val="28"/>
          <w:szCs w:val="28"/>
          <w:rtl/>
        </w:rPr>
        <w:t>''.</w:t>
      </w:r>
    </w:p>
    <w:p w14:paraId="2F23BE9D" w14:textId="1B784BB7" w:rsidR="00EA3E08" w:rsidRDefault="00EA3E08" w:rsidP="00EA3E08">
      <w:pPr>
        <w:bidi/>
        <w:jc w:val="both"/>
        <w:rPr>
          <w:rFonts w:ascii="David" w:hAnsi="David" w:cs="David"/>
          <w:sz w:val="28"/>
          <w:szCs w:val="28"/>
          <w:rtl/>
        </w:rPr>
      </w:pPr>
      <w:r>
        <w:rPr>
          <w:rFonts w:ascii="David" w:hAnsi="David" w:cs="David" w:hint="cs"/>
          <w:sz w:val="28"/>
          <w:szCs w:val="28"/>
          <w:rtl/>
        </w:rPr>
        <w:t xml:space="preserve">וכותב </w:t>
      </w:r>
      <w:r w:rsidRPr="00EA3E08">
        <w:rPr>
          <w:rFonts w:ascii="David" w:hAnsi="David" w:cs="David" w:hint="cs"/>
          <w:b/>
          <w:bCs/>
          <w:sz w:val="28"/>
          <w:szCs w:val="28"/>
          <w:rtl/>
        </w:rPr>
        <w:t>המהר''ל</w:t>
      </w:r>
      <w:r>
        <w:rPr>
          <w:rFonts w:ascii="David" w:hAnsi="David" w:cs="David" w:hint="cs"/>
          <w:sz w:val="28"/>
          <w:szCs w:val="28"/>
          <w:rtl/>
        </w:rPr>
        <w:t xml:space="preserve"> </w:t>
      </w:r>
      <w:r w:rsidRPr="00EA3E08">
        <w:rPr>
          <w:rFonts w:ascii="David" w:hAnsi="David" w:cs="David" w:hint="cs"/>
          <w:sz w:val="24"/>
          <w:szCs w:val="24"/>
          <w:rtl/>
        </w:rPr>
        <w:t>(</w:t>
      </w:r>
      <w:r w:rsidRPr="00EA3E08">
        <w:rPr>
          <w:rFonts w:ascii="David" w:hAnsi="David" w:cs="David"/>
          <w:sz w:val="24"/>
          <w:szCs w:val="24"/>
          <w:rtl/>
        </w:rPr>
        <w:t>חידושי אגדות</w:t>
      </w:r>
      <w:r w:rsidRPr="00EA3E08">
        <w:rPr>
          <w:rFonts w:ascii="David" w:hAnsi="David" w:cs="David" w:hint="cs"/>
          <w:sz w:val="24"/>
          <w:szCs w:val="24"/>
          <w:rtl/>
        </w:rPr>
        <w:t xml:space="preserve"> שם)</w:t>
      </w:r>
      <w:r w:rsidRPr="00EA3E08">
        <w:rPr>
          <w:rFonts w:ascii="David" w:hAnsi="David" w:cs="David"/>
          <w:sz w:val="24"/>
          <w:szCs w:val="24"/>
          <w:rtl/>
        </w:rPr>
        <w:t xml:space="preserve"> </w:t>
      </w:r>
      <w:r>
        <w:rPr>
          <w:rFonts w:ascii="David" w:hAnsi="David" w:cs="David" w:hint="cs"/>
          <w:sz w:val="28"/>
          <w:szCs w:val="28"/>
          <w:rtl/>
        </w:rPr>
        <w:t>''</w:t>
      </w:r>
      <w:r w:rsidRPr="00EA3E08">
        <w:rPr>
          <w:rFonts w:ascii="David" w:hAnsi="David" w:cs="David"/>
          <w:sz w:val="28"/>
          <w:szCs w:val="28"/>
          <w:rtl/>
        </w:rPr>
        <w:t>מלתא דאית בך קדם ואמרו. פי' כי דבר זה גנאי היה לו אם היו מחזיקים אותו בעל מעלה תחלה ואחר כך היה נודע להם כי יש בו חסרון והיו מורידים אותו אבל אם אין מחזיקין אותו חשוב אין לזה פחיתות כל כך, ודבר [זה] מבואר בכ' כי להוריד את האדם ממדריגתו הוא פחיתות וחסרון אבל מה שאינה חשוב אין זה חסרון כל כך</w:t>
      </w:r>
      <w:r>
        <w:rPr>
          <w:rFonts w:ascii="David" w:hAnsi="David" w:cs="David" w:hint="cs"/>
          <w:sz w:val="28"/>
          <w:szCs w:val="28"/>
          <w:rtl/>
        </w:rPr>
        <w:t>''</w:t>
      </w:r>
      <w:r w:rsidRPr="00EA3E08">
        <w:rPr>
          <w:rFonts w:ascii="David" w:hAnsi="David" w:cs="David"/>
          <w:sz w:val="28"/>
          <w:szCs w:val="28"/>
          <w:rtl/>
        </w:rPr>
        <w:t>.</w:t>
      </w:r>
    </w:p>
    <w:p w14:paraId="726DC387" w14:textId="389DCF88" w:rsidR="00EA3E08" w:rsidRPr="00EA3E08" w:rsidRDefault="00EA3E08" w:rsidP="00EA3E08">
      <w:pPr>
        <w:bidi/>
        <w:jc w:val="both"/>
        <w:rPr>
          <w:rFonts w:ascii="David" w:hAnsi="David" w:cs="David"/>
          <w:sz w:val="28"/>
          <w:szCs w:val="28"/>
        </w:rPr>
      </w:pPr>
      <w:r>
        <w:rPr>
          <w:rFonts w:ascii="David" w:hAnsi="David" w:cs="David" w:hint="cs"/>
          <w:sz w:val="28"/>
          <w:szCs w:val="28"/>
          <w:rtl/>
        </w:rPr>
        <w:t xml:space="preserve">עוד כתב </w:t>
      </w:r>
      <w:r w:rsidRPr="00EA3E08">
        <w:rPr>
          <w:rFonts w:ascii="David" w:hAnsi="David" w:cs="David" w:hint="cs"/>
          <w:b/>
          <w:bCs/>
          <w:sz w:val="28"/>
          <w:szCs w:val="28"/>
          <w:rtl/>
        </w:rPr>
        <w:t>המהר''ל</w:t>
      </w:r>
      <w:r>
        <w:rPr>
          <w:rFonts w:ascii="David" w:hAnsi="David" w:cs="David" w:hint="cs"/>
          <w:sz w:val="28"/>
          <w:szCs w:val="28"/>
          <w:rtl/>
        </w:rPr>
        <w:t xml:space="preserve"> </w:t>
      </w:r>
      <w:r w:rsidRPr="00EA3E08">
        <w:rPr>
          <w:rFonts w:ascii="David" w:hAnsi="David" w:cs="David" w:hint="cs"/>
          <w:sz w:val="24"/>
          <w:szCs w:val="24"/>
          <w:rtl/>
        </w:rPr>
        <w:t>(</w:t>
      </w:r>
      <w:r w:rsidRPr="00EA3E08">
        <w:rPr>
          <w:rFonts w:ascii="David" w:hAnsi="David" w:cs="David"/>
          <w:sz w:val="24"/>
          <w:szCs w:val="24"/>
          <w:rtl/>
        </w:rPr>
        <w:t>נתיבות עולם נתיב הענוה פרק ח</w:t>
      </w:r>
      <w:r w:rsidRPr="00EA3E08">
        <w:rPr>
          <w:rFonts w:ascii="David" w:hAnsi="David" w:cs="David" w:hint="cs"/>
          <w:sz w:val="24"/>
          <w:szCs w:val="24"/>
          <w:rtl/>
        </w:rPr>
        <w:t xml:space="preserve">) </w:t>
      </w:r>
      <w:r>
        <w:rPr>
          <w:rFonts w:ascii="David" w:hAnsi="David" w:cs="David" w:hint="cs"/>
          <w:sz w:val="28"/>
          <w:szCs w:val="28"/>
          <w:rtl/>
        </w:rPr>
        <w:t>''</w:t>
      </w:r>
      <w:r w:rsidRPr="00EA3E08">
        <w:rPr>
          <w:rFonts w:ascii="David" w:hAnsi="David" w:cs="David"/>
          <w:sz w:val="28"/>
          <w:szCs w:val="28"/>
          <w:rtl/>
        </w:rPr>
        <w:t>כלומר שאם יראה האדם שהוא שפל בעיני חבירו ג"כ הוא יאמר כך ולא יתן אליו חשיבות לומר כי חשוב הוא שאם כן יהיה מה שקרא אותו חבירו בשם שפלות יהיה פחיתות אליו ויותר טוב שלא יהיה כאן שום פחיתות, לכך הוא עצמו ג"כ יקרא לו כך ובזה אין כאן חסרון. ולכך סמך אחר זה אמר ליה רבא לרבה בר מרי מנא הא מלתא דאמרי אינשי מלתא גנאי דאית בך קדם אמרה א"ל דכתיב ויאמר אליעזר עבד אברהם אנכי ע"כ. וגם זה פירושו שאם יחשבו אותו שיש לו מעלה ואחר כך יאמרו עליו שהוא עבד, דבר זה פחיתות שהיה בחשיבות אצלם ויורידוהו וזהו חסרון, לכך יקדים לומר הפחיתות שבו ולא יהיה במעלה אצלם. כלל הדבר כי כאשר הוא אינו חשוב אצל אחרים יחזיק גם כן עצמו כך בבלתי חשיבות, שאם לא כן רק יחזיק עצמו חשוב היה מה שאינו כך בחשיבות אצל אחרים פחיתות וחסרון. וכן אם יש בו פחיתות יקדים לומר דבר זה שלא יהיה נחשב מתחלה בחשיבות ואחר כך יורידו אותו, ודבר זה בודאי הוא חסרון כאשר יורידוהו, וזה מבואר</w:t>
      </w:r>
      <w:r>
        <w:rPr>
          <w:rFonts w:ascii="David" w:hAnsi="David" w:cs="David" w:hint="cs"/>
          <w:sz w:val="28"/>
          <w:szCs w:val="28"/>
          <w:rtl/>
        </w:rPr>
        <w:t>''.</w:t>
      </w:r>
    </w:p>
    <w:sectPr w:rsidR="00EA3E08" w:rsidRPr="00EA3E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08"/>
    <w:rsid w:val="001D2779"/>
    <w:rsid w:val="00EA3E0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8896"/>
  <w15:chartTrackingRefBased/>
  <w15:docId w15:val="{08145E6F-0839-4EE5-B53E-871792257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A3E08"/>
    <w:rPr>
      <w:color w:val="0563C1" w:themeColor="hyperlink"/>
      <w:u w:val="single"/>
    </w:rPr>
  </w:style>
  <w:style w:type="character" w:styleId="Mentionnonrsolue">
    <w:name w:val="Unresolved Mention"/>
    <w:basedOn w:val="Policepardfaut"/>
    <w:uiPriority w:val="99"/>
    <w:semiHidden/>
    <w:unhideWhenUsed/>
    <w:rsid w:val="00EA3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250</Words>
  <Characters>1376</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2024-02-12T03:51:00Z</dcterms:created>
  <dcterms:modified xsi:type="dcterms:W3CDTF">2024-02-12T03:59:00Z</dcterms:modified>
</cp:coreProperties>
</file>