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40925" w14:textId="256E9AC4" w:rsidR="001C0F01" w:rsidRPr="001C0F01" w:rsidRDefault="001C0F01" w:rsidP="001C0F01">
      <w:pPr>
        <w:bidi/>
        <w:ind w:left="2124"/>
        <w:jc w:val="both"/>
        <w:rPr>
          <w:rFonts w:asciiTheme="majorBidi" w:hAnsiTheme="majorBidi" w:cstheme="majorBidi"/>
          <w:sz w:val="40"/>
          <w:szCs w:val="40"/>
          <w:u w:val="single"/>
          <w:rtl/>
        </w:rPr>
      </w:pPr>
      <w:r w:rsidRPr="001C0F01">
        <w:rPr>
          <w:rFonts w:asciiTheme="majorBidi" w:hAnsiTheme="majorBidi" w:cstheme="majorBidi"/>
          <w:sz w:val="40"/>
          <w:szCs w:val="40"/>
          <w:u w:val="single"/>
          <w:rtl/>
        </w:rPr>
        <w:t>דלטור</w:t>
      </w:r>
    </w:p>
    <w:p w14:paraId="5E78EE83" w14:textId="77777777" w:rsidR="001C0F01" w:rsidRDefault="001C0F01" w:rsidP="001C0F01">
      <w:pPr>
        <w:bidi/>
        <w:jc w:val="both"/>
        <w:rPr>
          <w:rFonts w:asciiTheme="majorBidi" w:hAnsiTheme="majorBidi" w:cstheme="majorBidi"/>
          <w:rtl/>
        </w:rPr>
      </w:pPr>
    </w:p>
    <w:p w14:paraId="5255B248" w14:textId="77777777" w:rsidR="001C0F01" w:rsidRDefault="001C0F01" w:rsidP="001C0F01">
      <w:pPr>
        <w:bidi/>
        <w:jc w:val="both"/>
        <w:rPr>
          <w:rFonts w:asciiTheme="majorBidi" w:hAnsiTheme="majorBidi" w:cstheme="majorBidi"/>
          <w:rtl/>
        </w:rPr>
      </w:pPr>
    </w:p>
    <w:p w14:paraId="6DA6561E" w14:textId="77777777" w:rsidR="001C0F01" w:rsidRDefault="001C0F01" w:rsidP="001C0F01">
      <w:pPr>
        <w:bidi/>
        <w:jc w:val="both"/>
        <w:rPr>
          <w:rFonts w:asciiTheme="majorBidi" w:hAnsiTheme="majorBidi" w:cstheme="majorBidi"/>
          <w:rtl/>
        </w:rPr>
      </w:pPr>
      <w:r w:rsidRPr="001C0F01">
        <w:rPr>
          <w:rFonts w:asciiTheme="majorBidi" w:hAnsiTheme="majorBidi" w:cstheme="majorBidi" w:hint="cs"/>
          <w:rtl/>
        </w:rPr>
        <w:t xml:space="preserve">כותב </w:t>
      </w:r>
      <w:r w:rsidRPr="001C0F01">
        <w:rPr>
          <w:rFonts w:asciiTheme="majorBidi" w:hAnsiTheme="majorBidi" w:cstheme="majorBidi" w:hint="cs"/>
          <w:b/>
          <w:bCs/>
          <w:rtl/>
        </w:rPr>
        <w:t>המהר''ל</w:t>
      </w:r>
      <w:r w:rsidRPr="001C0F01">
        <w:rPr>
          <w:rFonts w:asciiTheme="majorBidi" w:hAnsiTheme="majorBidi" w:cstheme="majorBidi" w:hint="cs"/>
          <w:rtl/>
        </w:rPr>
        <w:t xml:space="preserve"> </w:t>
      </w:r>
      <w:r w:rsidRPr="001C0F01">
        <w:rPr>
          <w:rFonts w:asciiTheme="majorBidi" w:hAnsiTheme="majorBidi" w:cstheme="majorBidi" w:hint="cs"/>
          <w:sz w:val="20"/>
          <w:szCs w:val="20"/>
          <w:rtl/>
        </w:rPr>
        <w:t>(</w:t>
      </w:r>
      <w:r w:rsidRPr="001C0F01">
        <w:rPr>
          <w:rFonts w:asciiTheme="majorBidi" w:hAnsiTheme="majorBidi" w:cstheme="majorBidi"/>
          <w:sz w:val="20"/>
          <w:szCs w:val="20"/>
          <w:rtl/>
        </w:rPr>
        <w:t>גור אריה</w:t>
      </w:r>
      <w:r w:rsidRPr="001C0F01">
        <w:rPr>
          <w:rFonts w:asciiTheme="majorBidi" w:hAnsiTheme="majorBidi" w:cstheme="majorBidi" w:hint="cs"/>
          <w:sz w:val="20"/>
          <w:szCs w:val="20"/>
          <w:rtl/>
        </w:rPr>
        <w:t xml:space="preserve">) </w:t>
      </w:r>
      <w:r w:rsidRPr="001C0F01">
        <w:rPr>
          <w:rFonts w:asciiTheme="majorBidi" w:hAnsiTheme="majorBidi" w:cstheme="majorBidi" w:hint="cs"/>
          <w:rtl/>
        </w:rPr>
        <w:t>על פר'</w:t>
      </w:r>
      <w:r w:rsidRPr="001C0F01">
        <w:rPr>
          <w:rFonts w:asciiTheme="majorBidi" w:hAnsiTheme="majorBidi" w:cstheme="majorBidi"/>
          <w:rtl/>
        </w:rPr>
        <w:t xml:space="preserve"> </w:t>
      </w:r>
      <w:r w:rsidRPr="001C0F01">
        <w:rPr>
          <w:rFonts w:asciiTheme="majorBidi" w:hAnsiTheme="majorBidi" w:cstheme="majorBidi"/>
          <w:b/>
          <w:bCs/>
          <w:rtl/>
        </w:rPr>
        <w:t>שמות</w:t>
      </w:r>
      <w:r w:rsidRPr="001C0F01">
        <w:rPr>
          <w:rFonts w:asciiTheme="majorBidi" w:hAnsiTheme="majorBidi" w:cstheme="majorBidi"/>
          <w:rtl/>
        </w:rPr>
        <w:t xml:space="preserve"> </w:t>
      </w:r>
      <w:r w:rsidRPr="001C0F01">
        <w:rPr>
          <w:rFonts w:asciiTheme="majorBidi" w:hAnsiTheme="majorBidi" w:cstheme="majorBidi" w:hint="cs"/>
          <w:sz w:val="20"/>
          <w:szCs w:val="20"/>
          <w:rtl/>
        </w:rPr>
        <w:t>(</w:t>
      </w:r>
      <w:r w:rsidRPr="001C0F01">
        <w:rPr>
          <w:rFonts w:asciiTheme="majorBidi" w:hAnsiTheme="majorBidi" w:cstheme="majorBidi"/>
          <w:sz w:val="20"/>
          <w:szCs w:val="20"/>
          <w:rtl/>
        </w:rPr>
        <w:t xml:space="preserve">פרק ב פסוק </w:t>
      </w:r>
      <w:r w:rsidRPr="001C0F01">
        <w:rPr>
          <w:rFonts w:asciiTheme="majorBidi" w:hAnsiTheme="majorBidi" w:cstheme="majorBidi" w:hint="cs"/>
          <w:sz w:val="20"/>
          <w:szCs w:val="20"/>
          <w:rtl/>
        </w:rPr>
        <w:t>יד)</w:t>
      </w:r>
      <w:r w:rsidRPr="001C0F01">
        <w:rPr>
          <w:rFonts w:asciiTheme="majorBidi" w:hAnsiTheme="majorBidi" w:cstheme="majorBidi"/>
          <w:sz w:val="20"/>
          <w:szCs w:val="20"/>
          <w:rtl/>
        </w:rPr>
        <w:t xml:space="preserve"> </w:t>
      </w:r>
      <w:r w:rsidRPr="001C0F01">
        <w:rPr>
          <w:rFonts w:asciiTheme="majorBidi" w:hAnsiTheme="majorBidi" w:cstheme="majorBidi" w:hint="cs"/>
          <w:rtl/>
        </w:rPr>
        <w:t>''</w:t>
      </w:r>
      <w:r w:rsidRPr="001C0F01">
        <w:rPr>
          <w:rFonts w:asciiTheme="majorBidi" w:hAnsiTheme="majorBidi" w:cstheme="majorBidi"/>
          <w:rtl/>
        </w:rPr>
        <w:t>המדרש הזה (שמו"ר א, ל)</w:t>
      </w:r>
      <w:r w:rsidRPr="001C0F01">
        <w:rPr>
          <w:rFonts w:asciiTheme="majorBidi" w:hAnsiTheme="majorBidi" w:cstheme="majorBidi"/>
          <w:vertAlign w:val="superscript"/>
          <w:rtl/>
        </w:rPr>
        <w:footnoteReference w:id="1"/>
      </w:r>
      <w:r w:rsidRPr="001C0F01">
        <w:rPr>
          <w:rFonts w:asciiTheme="majorBidi" w:hAnsiTheme="majorBidi" w:cstheme="majorBidi"/>
          <w:rtl/>
        </w:rPr>
        <w:t xml:space="preserve"> יש בו טעם נפלא, כי מי שיש בו מדה זאת אינו ראוי לגאולה, </w:t>
      </w:r>
      <w:r w:rsidRPr="001C0F01">
        <w:rPr>
          <w:rFonts w:asciiTheme="majorBidi" w:hAnsiTheme="majorBidi" w:cstheme="majorBidi"/>
          <w:u w:val="single"/>
          <w:rtl/>
        </w:rPr>
        <w:t>לפי שהגאולה היא נמשכת ממדריגה פנימית עליונה שהיא אינה בגלוי</w:t>
      </w:r>
      <w:r w:rsidRPr="001C0F01">
        <w:rPr>
          <w:rFonts w:asciiTheme="majorBidi" w:hAnsiTheme="majorBidi" w:cstheme="majorBidi"/>
          <w:rtl/>
        </w:rPr>
        <w:t xml:space="preserve">, ומי שמגלה דברים - הפך זה, שדבק במדריגה תחתונה, והיא נקראת מדריגה גלויה וחיצונה. </w:t>
      </w:r>
      <w:r w:rsidRPr="001C0F01">
        <w:rPr>
          <w:rFonts w:asciiTheme="majorBidi" w:hAnsiTheme="majorBidi" w:cstheme="majorBidi"/>
          <w:u w:val="single"/>
          <w:rtl/>
        </w:rPr>
        <w:t>לכך כאשר ראה דלטורין בישראל אמר שראוים לשעבוד,</w:t>
      </w:r>
      <w:r w:rsidRPr="001C0F01">
        <w:rPr>
          <w:rFonts w:asciiTheme="majorBidi" w:hAnsiTheme="majorBidi" w:cstheme="majorBidi"/>
          <w:rtl/>
        </w:rPr>
        <w:t xml:space="preserve"> </w:t>
      </w:r>
      <w:r w:rsidRPr="001C0F01">
        <w:rPr>
          <w:rFonts w:asciiTheme="majorBidi" w:hAnsiTheme="majorBidi" w:cstheme="majorBidi"/>
          <w:u w:val="single"/>
          <w:rtl/>
        </w:rPr>
        <w:t>שהשעבוד מדריגה תחתונה וראוי להם השעבוד, שהרי הם בעלי רכיל מגלים הסוד, וראוי להם השיעבוד שהוא מדריגה גלויה תחתונה</w:t>
      </w:r>
      <w:r w:rsidRPr="001C0F01">
        <w:rPr>
          <w:rFonts w:asciiTheme="majorBidi" w:hAnsiTheme="majorBidi" w:cstheme="majorBidi"/>
          <w:rtl/>
        </w:rPr>
        <w:t xml:space="preserve">. ותדע ותשכיל כי </w:t>
      </w:r>
      <w:r w:rsidRPr="001C0F01">
        <w:rPr>
          <w:rFonts w:asciiTheme="majorBidi" w:hAnsiTheme="majorBidi" w:cstheme="majorBidi"/>
          <w:u w:val="single"/>
          <w:rtl/>
        </w:rPr>
        <w:t>באומות יש להם מדריגה גלויה וחצונית, ולישראל מדריגה פנימית עליונה</w:t>
      </w:r>
      <w:r w:rsidRPr="001C0F01">
        <w:rPr>
          <w:rFonts w:asciiTheme="majorBidi" w:hAnsiTheme="majorBidi" w:cstheme="majorBidi"/>
          <w:rtl/>
        </w:rPr>
        <w:t>, ודבר זה רמזו ז"ל בפרק הזרוע והלחיים (חולין קלג ע"ב) שאמרו שם סתם גוי מרבה דברים, וכן בעירובין (עה ע"ב) גבי ב' חצירות זו לפנים מזו וזו לפנים מזו, והטעם הוא שמדריגתו של גוי מדריגה חיצונה ואינה פנימית נעלמת, לכך תמיד מדבר ואין לו רוח פנימי. ומזה הטעם גם כן תבין מה שהנשים יש להם רבוי דברים (קידושין מט ע"ב), בשביל מדריגתם השפלה התחתונה והגלויה שלהם</w:t>
      </w:r>
    </w:p>
    <w:p w14:paraId="5F0DF2CA" w14:textId="77777777" w:rsidR="001C0F01" w:rsidRDefault="001C0F01" w:rsidP="001C0F01">
      <w:pPr>
        <w:bidi/>
        <w:jc w:val="both"/>
        <w:rPr>
          <w:rFonts w:asciiTheme="majorBidi" w:hAnsiTheme="majorBidi" w:cs="Times New Roman"/>
          <w:rtl/>
        </w:rPr>
      </w:pPr>
      <w:r w:rsidRPr="001C0F01">
        <w:rPr>
          <w:rFonts w:asciiTheme="majorBidi" w:hAnsiTheme="majorBidi" w:cs="Times New Roman"/>
          <w:rtl/>
        </w:rPr>
        <w:t xml:space="preserve">וכאשר ראה בישראל שהם נמשכים אחר גלוי הדברים - אמר עתה ידעתי מפני מה הם משועבדים יותר מכל האומות, מפני שהם דבקים בגלוי שזה הוא מדריגה שפלה גלויה פחותה, לכך הם משועבדים. </w:t>
      </w:r>
    </w:p>
    <w:p w14:paraId="7F4A0FAD" w14:textId="3AE7860A" w:rsidR="001C0F01" w:rsidRPr="001C0F01" w:rsidRDefault="001C0F01" w:rsidP="001C0F01">
      <w:pPr>
        <w:bidi/>
        <w:jc w:val="both"/>
        <w:rPr>
          <w:rFonts w:asciiTheme="majorBidi" w:hAnsiTheme="majorBidi" w:cstheme="majorBidi"/>
          <w:rtl/>
        </w:rPr>
      </w:pPr>
      <w:r w:rsidRPr="001C0F01">
        <w:rPr>
          <w:rFonts w:asciiTheme="majorBidi" w:hAnsiTheme="majorBidi" w:cs="Times New Roman"/>
          <w:rtl/>
        </w:rPr>
        <w:t xml:space="preserve">ואל יקשה לך שכל שכן שראוי שיהיו האומות בשעבוד, שהם דבקים במדריגה הפחותה הגלויה, שאין זה קשיא, דמפני שמדריגתם מדריגה גלויה בעצמה אין זה כמו הדלטור שהוא מגלה הדבר הפנימי, לכך האומות שהם מרבים דברים ומדריגתם מדריגה גלויה, </w:t>
      </w:r>
      <w:r w:rsidRPr="001C0F01">
        <w:rPr>
          <w:rFonts w:asciiTheme="majorBidi" w:hAnsiTheme="majorBidi" w:cs="Times New Roman"/>
          <w:rtl/>
        </w:rPr>
        <w:lastRenderedPageBreak/>
        <w:t xml:space="preserve">ואין זה נחשב גלוי כמו הדלטור שהיה מגלה הסוד. </w:t>
      </w:r>
      <w:r w:rsidRPr="001C0F01">
        <w:rPr>
          <w:rFonts w:asciiTheme="majorBidi" w:hAnsiTheme="majorBidi" w:cs="Times New Roman"/>
          <w:u w:val="single"/>
          <w:rtl/>
        </w:rPr>
        <w:t>וחטא הזה, שהוא דלטוריא, יותר יש בישראל בעונותינו מבכל האומות</w:t>
      </w:r>
      <w:r w:rsidRPr="001C0F01">
        <w:rPr>
          <w:rFonts w:asciiTheme="majorBidi" w:hAnsiTheme="majorBidi" w:cs="Times New Roman"/>
          <w:rtl/>
        </w:rPr>
        <w:t xml:space="preserve">, כמו שהגוי הוא מרבה לדבר, ודבר זה מביא לו שפלות ופחיתות, אף על גב שאינו מביא לו דברי שעבוד מביא לו שפלות, וישראל שיש בהם דלטוריא לגלות סוד, זה יותר רע, ומביא השעבוד. והטעם שמצוי זה בישראל יותר, כי ישראל הם בעצמם דביקים במדריגה העליונה, "ונתנך ה' עליון על כל גויי הארץ" (ר' דברים כח, א), ולכך הם דביקים במדריגה הפנימית היא מדריגת הסוד. וכאשר הוא נוטה אל הפחיתות אז הוא מגלה סוד, שהרי הוא יוצא ממעלתו העליונה ודבק במדריגה התחתונה. ולפיכך נמצא זה יותר בישראל מכל האומות, והוא גורם להם השעבוד. ואם זה שהוא דבק במדריגה התחתונה הגלויה - הוא במדריגת השפלות כמו שהוא מדריגת הנשים והאומות, זה שהוא מוציא הנסתר ומגלה סוד - הוא בתכלית השפלות, עד שיגיע לו שעבוד בתכלית. </w:t>
      </w:r>
      <w:r w:rsidRPr="001C0F01">
        <w:rPr>
          <w:rFonts w:asciiTheme="majorBidi" w:hAnsiTheme="majorBidi" w:cstheme="majorBidi" w:hint="cs"/>
          <w:rtl/>
        </w:rPr>
        <w:t>''</w:t>
      </w:r>
      <w:r w:rsidRPr="001C0F01">
        <w:rPr>
          <w:rFonts w:asciiTheme="majorBidi" w:hAnsiTheme="majorBidi" w:cstheme="majorBidi"/>
          <w:rtl/>
        </w:rPr>
        <w:t>.</w:t>
      </w:r>
    </w:p>
    <w:p w14:paraId="2F65A203" w14:textId="77777777" w:rsidR="001C0F01" w:rsidRPr="001C0F01" w:rsidRDefault="001C0F01" w:rsidP="001C0F01">
      <w:pPr>
        <w:bidi/>
        <w:jc w:val="both"/>
        <w:rPr>
          <w:rFonts w:asciiTheme="majorBidi" w:hAnsiTheme="majorBidi" w:cstheme="majorBidi"/>
        </w:rPr>
      </w:pPr>
    </w:p>
    <w:sectPr w:rsidR="001C0F01" w:rsidRPr="001C0F01" w:rsidSect="001C0F01">
      <w:pgSz w:w="8391" w:h="11906" w:code="11"/>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AB7A2" w14:textId="77777777" w:rsidR="00D275C3" w:rsidRDefault="00D275C3" w:rsidP="001C0F01">
      <w:pPr>
        <w:spacing w:after="0" w:line="240" w:lineRule="auto"/>
      </w:pPr>
      <w:r>
        <w:separator/>
      </w:r>
    </w:p>
  </w:endnote>
  <w:endnote w:type="continuationSeparator" w:id="0">
    <w:p w14:paraId="249F14C2" w14:textId="77777777" w:rsidR="00D275C3" w:rsidRDefault="00D275C3" w:rsidP="001C0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51C73" w14:textId="77777777" w:rsidR="00D275C3" w:rsidRDefault="00D275C3" w:rsidP="001C0F01">
      <w:pPr>
        <w:spacing w:after="0" w:line="240" w:lineRule="auto"/>
      </w:pPr>
      <w:r>
        <w:separator/>
      </w:r>
    </w:p>
  </w:footnote>
  <w:footnote w:type="continuationSeparator" w:id="0">
    <w:p w14:paraId="280616C9" w14:textId="77777777" w:rsidR="00D275C3" w:rsidRDefault="00D275C3" w:rsidP="001C0F01">
      <w:pPr>
        <w:spacing w:after="0" w:line="240" w:lineRule="auto"/>
      </w:pPr>
      <w:r>
        <w:continuationSeparator/>
      </w:r>
    </w:p>
  </w:footnote>
  <w:footnote w:id="1">
    <w:p w14:paraId="574862D2" w14:textId="77777777" w:rsidR="001C0F01" w:rsidRPr="001C0F01" w:rsidRDefault="001C0F01" w:rsidP="001C0F01">
      <w:pPr>
        <w:pStyle w:val="Notedebasdepage"/>
        <w:bidi/>
        <w:jc w:val="both"/>
        <w:rPr>
          <w:rFonts w:ascii="Times New Roman" w:hAnsi="Times New Roman" w:cs="Times New Roman"/>
          <w:sz w:val="16"/>
          <w:szCs w:val="16"/>
          <w:rtl/>
        </w:rPr>
      </w:pPr>
      <w:r w:rsidRPr="001C0F01">
        <w:rPr>
          <w:rStyle w:val="Appelnotedebasdep"/>
          <w:rFonts w:ascii="Times New Roman" w:hAnsi="Times New Roman" w:cs="Times New Roman"/>
          <w:sz w:val="16"/>
          <w:szCs w:val="16"/>
        </w:rPr>
        <w:footnoteRef/>
      </w:r>
      <w:r w:rsidRPr="001C0F01">
        <w:rPr>
          <w:rFonts w:ascii="Times New Roman" w:hAnsi="Times New Roman" w:cs="Times New Roman"/>
          <w:sz w:val="16"/>
          <w:szCs w:val="16"/>
        </w:rPr>
        <w:t xml:space="preserve"> </w:t>
      </w:r>
      <w:r w:rsidRPr="001C0F01">
        <w:rPr>
          <w:rFonts w:ascii="Times New Roman" w:hAnsi="Times New Roman" w:cs="Times New Roman"/>
          <w:sz w:val="16"/>
          <w:szCs w:val="16"/>
          <w:rtl/>
        </w:rPr>
        <w:t xml:space="preserve"> </w:t>
      </w:r>
      <w:r w:rsidRPr="001C0F01">
        <w:rPr>
          <w:rFonts w:ascii="Times New Roman" w:hAnsi="Times New Roman" w:cs="Times New Roman" w:hint="cs"/>
          <w:sz w:val="16"/>
          <w:szCs w:val="16"/>
          <w:rtl/>
        </w:rPr>
        <w:t>כתוב במדרש שם:</w:t>
      </w:r>
      <w:r w:rsidRPr="001C0F01">
        <w:rPr>
          <w:rFonts w:ascii="Times New Roman" w:hAnsi="Times New Roman" w:cs="Times New Roman"/>
          <w:sz w:val="16"/>
          <w:szCs w:val="16"/>
          <w:rtl/>
        </w:rPr>
        <w:t xml:space="preserve"> דאג לו על שראה בישראל רשעים דילטורין, אמר, מעתה שמא אינם ראויין להגאל</w:t>
      </w:r>
      <w:r w:rsidRPr="001C0F01">
        <w:rPr>
          <w:rFonts w:ascii="Times New Roman" w:hAnsi="Times New Roman" w:cs="Times New Roman" w:hint="cs"/>
          <w:sz w:val="16"/>
          <w:szCs w:val="16"/>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01"/>
    <w:rsid w:val="001C0F01"/>
    <w:rsid w:val="006E1F17"/>
    <w:rsid w:val="00D275C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B8FA"/>
  <w15:chartTrackingRefBased/>
  <w15:docId w15:val="{13891C31-8BDB-40E7-9799-1D9EF1EA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1C0F01"/>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1C0F01"/>
    <w:rPr>
      <w:noProof/>
      <w:kern w:val="0"/>
      <w:sz w:val="20"/>
      <w:szCs w:val="20"/>
      <w14:ligatures w14:val="none"/>
    </w:rPr>
  </w:style>
  <w:style w:type="character" w:styleId="Appelnotedebasdep">
    <w:name w:val="footnote reference"/>
    <w:basedOn w:val="Policepardfaut"/>
    <w:uiPriority w:val="99"/>
    <w:semiHidden/>
    <w:unhideWhenUsed/>
    <w:rsid w:val="001C0F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311</Words>
  <Characters>1716</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2025-01-14T19:42:00Z</dcterms:created>
  <dcterms:modified xsi:type="dcterms:W3CDTF">2025-01-14T19:46:00Z</dcterms:modified>
</cp:coreProperties>
</file>