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FB98" w14:textId="1442988B" w:rsidR="001D2779" w:rsidRPr="00C11242" w:rsidRDefault="00036E24" w:rsidP="00036E24">
      <w:pPr>
        <w:bidi/>
        <w:ind w:left="3540"/>
        <w:jc w:val="both"/>
        <w:rPr>
          <w:rFonts w:asciiTheme="majorBidi" w:hAnsiTheme="majorBidi" w:cstheme="majorBidi"/>
          <w:sz w:val="56"/>
          <w:szCs w:val="56"/>
          <w:u w:val="single"/>
          <w:rtl/>
        </w:rPr>
      </w:pPr>
      <w:r w:rsidRPr="00C11242">
        <w:rPr>
          <w:rFonts w:asciiTheme="majorBidi" w:hAnsiTheme="majorBidi" w:cstheme="majorBidi"/>
          <w:sz w:val="56"/>
          <w:szCs w:val="56"/>
          <w:u w:val="single"/>
          <w:rtl/>
        </w:rPr>
        <w:t xml:space="preserve">דמיון </w:t>
      </w:r>
    </w:p>
    <w:p w14:paraId="6AF9E47B" w14:textId="77777777" w:rsidR="00036E24" w:rsidRPr="00C11242" w:rsidRDefault="00036E24" w:rsidP="00036E24">
      <w:pPr>
        <w:bidi/>
        <w:jc w:val="both"/>
        <w:rPr>
          <w:rFonts w:asciiTheme="majorBidi" w:hAnsiTheme="majorBidi" w:cstheme="majorBidi"/>
          <w:sz w:val="28"/>
          <w:szCs w:val="28"/>
          <w:rtl/>
        </w:rPr>
      </w:pPr>
    </w:p>
    <w:p w14:paraId="344E14A1" w14:textId="77777777" w:rsidR="00036E24" w:rsidRPr="00C11242" w:rsidRDefault="00036E24" w:rsidP="00036E24">
      <w:pPr>
        <w:bidi/>
        <w:jc w:val="both"/>
        <w:rPr>
          <w:rFonts w:asciiTheme="majorBidi" w:hAnsiTheme="majorBidi" w:cstheme="majorBidi"/>
          <w:sz w:val="28"/>
          <w:szCs w:val="28"/>
          <w:rtl/>
        </w:rPr>
      </w:pPr>
    </w:p>
    <w:p w14:paraId="140CACD7" w14:textId="64A35779" w:rsidR="00036E24" w:rsidRPr="00C11242" w:rsidRDefault="00036E24" w:rsidP="00036E24">
      <w:pPr>
        <w:bidi/>
        <w:jc w:val="both"/>
        <w:rPr>
          <w:rFonts w:asciiTheme="majorBidi" w:hAnsiTheme="majorBidi" w:cstheme="majorBidi"/>
          <w:sz w:val="36"/>
          <w:szCs w:val="36"/>
          <w:u w:val="single"/>
          <w:rtl/>
        </w:rPr>
      </w:pPr>
      <w:r w:rsidRPr="00C11242">
        <w:rPr>
          <w:rFonts w:asciiTheme="majorBidi" w:hAnsiTheme="majorBidi" w:cstheme="majorBidi"/>
          <w:sz w:val="36"/>
          <w:szCs w:val="36"/>
          <w:u w:val="single"/>
          <w:rtl/>
        </w:rPr>
        <w:t>אם הוא חושב על מי שהוא אחר כשקורא מישהו, מחשבתו מכשילתו</w:t>
      </w:r>
    </w:p>
    <w:p w14:paraId="51A3E759" w14:textId="77777777" w:rsidR="00036E24" w:rsidRPr="00C11242" w:rsidRDefault="00036E24" w:rsidP="00036E24">
      <w:pPr>
        <w:bidi/>
        <w:jc w:val="both"/>
        <w:rPr>
          <w:rFonts w:asciiTheme="majorBidi" w:hAnsiTheme="majorBidi" w:cstheme="majorBidi"/>
          <w:kern w:val="0"/>
          <w:sz w:val="28"/>
          <w:szCs w:val="28"/>
          <w:rtl/>
          <w14:ligatures w14:val="none"/>
        </w:rPr>
      </w:pPr>
      <w:r w:rsidRPr="00C11242">
        <w:rPr>
          <w:rFonts w:asciiTheme="majorBidi" w:hAnsiTheme="majorBidi" w:cstheme="majorBidi"/>
          <w:kern w:val="0"/>
          <w:sz w:val="28"/>
          <w:szCs w:val="28"/>
          <w:rtl/>
          <w14:ligatures w14:val="none"/>
        </w:rPr>
        <w:t xml:space="preserve">כתוב במגילת </w:t>
      </w:r>
      <w:r w:rsidRPr="00C11242">
        <w:rPr>
          <w:rFonts w:asciiTheme="majorBidi" w:hAnsiTheme="majorBidi" w:cstheme="majorBidi"/>
          <w:b/>
          <w:bCs/>
          <w:kern w:val="0"/>
          <w:sz w:val="28"/>
          <w:szCs w:val="28"/>
          <w:rtl/>
          <w14:ligatures w14:val="none"/>
        </w:rPr>
        <w:t>אסתר</w:t>
      </w:r>
      <w:r w:rsidRPr="00C11242">
        <w:rPr>
          <w:rFonts w:asciiTheme="majorBidi" w:hAnsiTheme="majorBidi" w:cstheme="majorBidi"/>
          <w:kern w:val="0"/>
          <w:sz w:val="28"/>
          <w:szCs w:val="28"/>
          <w:rtl/>
          <w14:ligatures w14:val="none"/>
        </w:rPr>
        <w:t xml:space="preserve"> </w:t>
      </w:r>
      <w:r w:rsidRPr="00C11242">
        <w:rPr>
          <w:rFonts w:asciiTheme="majorBidi" w:hAnsiTheme="majorBidi" w:cstheme="majorBidi"/>
          <w:kern w:val="0"/>
          <w:sz w:val="24"/>
          <w:szCs w:val="24"/>
          <w:rtl/>
          <w14:ligatures w14:val="none"/>
        </w:rPr>
        <w:t xml:space="preserve">(ז, ו) </w:t>
      </w:r>
      <w:r w:rsidRPr="00C11242">
        <w:rPr>
          <w:rFonts w:asciiTheme="majorBidi" w:hAnsiTheme="majorBidi" w:cstheme="majorBidi"/>
          <w:kern w:val="0"/>
          <w:sz w:val="28"/>
          <w:szCs w:val="28"/>
          <w:rtl/>
          <w14:ligatures w14:val="none"/>
        </w:rPr>
        <w:t>''וַתֹּאמֶר אֶסְתֵּר אִישׁ צַר וְאוֹיֵב הָמָן הָרָע הַזֶּה וְהָמָן נִבְעַת מִלִּפְנֵי הַמֶּלֶךְ וְהַמַּלְכָּה''.</w:t>
      </w:r>
    </w:p>
    <w:p w14:paraId="17EF21C4" w14:textId="77777777" w:rsidR="00036E24" w:rsidRPr="00C11242" w:rsidRDefault="00036E24" w:rsidP="00036E24">
      <w:pPr>
        <w:bidi/>
        <w:jc w:val="both"/>
        <w:rPr>
          <w:rFonts w:asciiTheme="majorBidi" w:hAnsiTheme="majorBidi" w:cstheme="majorBidi"/>
          <w:kern w:val="0"/>
          <w:sz w:val="28"/>
          <w:szCs w:val="28"/>
          <w:rtl/>
          <w14:ligatures w14:val="none"/>
        </w:rPr>
      </w:pPr>
      <w:r w:rsidRPr="00C11242">
        <w:rPr>
          <w:rFonts w:asciiTheme="majorBidi" w:hAnsiTheme="majorBidi" w:cstheme="majorBidi"/>
          <w:kern w:val="0"/>
          <w:sz w:val="28"/>
          <w:szCs w:val="28"/>
          <w:rtl/>
          <w14:ligatures w14:val="none"/>
        </w:rPr>
        <w:t xml:space="preserve">ואומרת הגמ' </w:t>
      </w:r>
      <w:r w:rsidRPr="00C11242">
        <w:rPr>
          <w:rFonts w:asciiTheme="majorBidi" w:hAnsiTheme="majorBidi" w:cstheme="majorBidi"/>
          <w:b/>
          <w:bCs/>
          <w:kern w:val="0"/>
          <w:sz w:val="28"/>
          <w:szCs w:val="28"/>
          <w:rtl/>
          <w14:ligatures w14:val="none"/>
        </w:rPr>
        <w:t>מגילה</w:t>
      </w:r>
      <w:r w:rsidRPr="00C11242">
        <w:rPr>
          <w:rFonts w:asciiTheme="majorBidi" w:hAnsiTheme="majorBidi" w:cstheme="majorBidi"/>
          <w:kern w:val="0"/>
          <w:sz w:val="28"/>
          <w:szCs w:val="28"/>
          <w:rtl/>
          <w14:ligatures w14:val="none"/>
        </w:rPr>
        <w:t xml:space="preserve"> </w:t>
      </w:r>
      <w:r w:rsidRPr="00C11242">
        <w:rPr>
          <w:rFonts w:asciiTheme="majorBidi" w:hAnsiTheme="majorBidi" w:cstheme="majorBidi"/>
          <w:kern w:val="0"/>
          <w:sz w:val="24"/>
          <w:szCs w:val="24"/>
          <w:rtl/>
          <w14:ligatures w14:val="none"/>
        </w:rPr>
        <w:t xml:space="preserve">(דף טז.) </w:t>
      </w:r>
      <w:r w:rsidRPr="00C11242">
        <w:rPr>
          <w:rFonts w:asciiTheme="majorBidi" w:hAnsiTheme="majorBidi" w:cstheme="majorBidi"/>
          <w:kern w:val="0"/>
          <w:sz w:val="28"/>
          <w:szCs w:val="28"/>
          <w:rtl/>
          <w14:ligatures w14:val="none"/>
        </w:rPr>
        <w:t>ע''ז ''ותאמר אסתר איש צר ואויב המן הרע הזה אמר ר' אלעזר מלמד שהיתה מחווה כלפי אחשורוש ובא מלאך וסטר ידה כלפי המן''.</w:t>
      </w:r>
    </w:p>
    <w:p w14:paraId="4BEF2D46" w14:textId="77777777" w:rsidR="00036E24" w:rsidRPr="00C11242" w:rsidRDefault="00036E24" w:rsidP="00036E24">
      <w:pPr>
        <w:bidi/>
        <w:jc w:val="both"/>
        <w:rPr>
          <w:rFonts w:asciiTheme="majorBidi" w:hAnsiTheme="majorBidi" w:cstheme="majorBidi"/>
          <w:kern w:val="0"/>
          <w:sz w:val="28"/>
          <w:szCs w:val="28"/>
          <w:rtl/>
          <w14:ligatures w14:val="none"/>
        </w:rPr>
      </w:pPr>
      <w:r w:rsidRPr="00C11242">
        <w:rPr>
          <w:rFonts w:asciiTheme="majorBidi" w:hAnsiTheme="majorBidi" w:cstheme="majorBidi"/>
          <w:kern w:val="0"/>
          <w:sz w:val="28"/>
          <w:szCs w:val="28"/>
          <w:rtl/>
          <w14:ligatures w14:val="none"/>
        </w:rPr>
        <w:t xml:space="preserve">ושואל </w:t>
      </w:r>
      <w:r w:rsidRPr="00C11242">
        <w:rPr>
          <w:rFonts w:asciiTheme="majorBidi" w:hAnsiTheme="majorBidi" w:cstheme="majorBidi"/>
          <w:b/>
          <w:bCs/>
          <w:kern w:val="0"/>
          <w:sz w:val="28"/>
          <w:szCs w:val="28"/>
          <w:rtl/>
          <w14:ligatures w14:val="none"/>
        </w:rPr>
        <w:t>הגר''א</w:t>
      </w:r>
      <w:r w:rsidRPr="00C11242">
        <w:rPr>
          <w:rFonts w:asciiTheme="majorBidi" w:hAnsiTheme="majorBidi" w:cstheme="majorBidi"/>
          <w:kern w:val="0"/>
          <w:sz w:val="28"/>
          <w:szCs w:val="28"/>
          <w:rtl/>
          <w14:ligatures w14:val="none"/>
        </w:rPr>
        <w:t xml:space="preserve"> </w:t>
      </w:r>
      <w:r w:rsidRPr="00C11242">
        <w:rPr>
          <w:rFonts w:asciiTheme="majorBidi" w:hAnsiTheme="majorBidi" w:cstheme="majorBidi"/>
          <w:kern w:val="0"/>
          <w:sz w:val="24"/>
          <w:szCs w:val="24"/>
          <w:rtl/>
          <w14:ligatures w14:val="none"/>
        </w:rPr>
        <w:t xml:space="preserve">(אסתר שם) </w:t>
      </w:r>
      <w:r w:rsidRPr="00C11242">
        <w:rPr>
          <w:rFonts w:asciiTheme="majorBidi" w:hAnsiTheme="majorBidi" w:cstheme="majorBidi"/>
          <w:kern w:val="0"/>
          <w:sz w:val="28"/>
          <w:szCs w:val="28"/>
          <w:rtl/>
          <w14:ligatures w14:val="none"/>
        </w:rPr>
        <w:t>והנה זה פליאה גדולה, לענין מאי מחוי ידה כלפי אחשורוש.</w:t>
      </w:r>
    </w:p>
    <w:p w14:paraId="31A8C4CD" w14:textId="4E949AAE" w:rsidR="00036E24" w:rsidRPr="00C11242" w:rsidRDefault="00036E24" w:rsidP="00036E24">
      <w:pPr>
        <w:bidi/>
        <w:jc w:val="both"/>
        <w:rPr>
          <w:rFonts w:asciiTheme="majorBidi" w:hAnsiTheme="majorBidi" w:cstheme="majorBidi"/>
          <w:kern w:val="0"/>
          <w:sz w:val="28"/>
          <w:szCs w:val="28"/>
          <w14:ligatures w14:val="none"/>
        </w:rPr>
      </w:pPr>
      <w:r w:rsidRPr="00C11242">
        <w:rPr>
          <w:rFonts w:asciiTheme="majorBidi" w:hAnsiTheme="majorBidi" w:cstheme="majorBidi"/>
          <w:kern w:val="0"/>
          <w:sz w:val="28"/>
          <w:szCs w:val="28"/>
          <w:rtl/>
          <w14:ligatures w14:val="none"/>
        </w:rPr>
        <w:t>ותירץ שהרי אמרו חכמים שכח הדמיון עושה רושם באדם, כמו שראינו במי שרוצה לקרוא 'שמעון' וטועה וקורא 'ראובן', והוא מפני שבמחשבתו היה חושב על ראובן. ודע שבכל הצדיקים היה דרכם לכשידברו דברים לפני המלך היה לבם ומחשבתם דבוק להקב''ה</w:t>
      </w:r>
      <w:r w:rsidR="00EB6BFC" w:rsidRPr="00C11242">
        <w:rPr>
          <w:rStyle w:val="Appelnotedebasdep"/>
          <w:rFonts w:asciiTheme="majorBidi" w:hAnsiTheme="majorBidi" w:cstheme="majorBidi"/>
          <w:kern w:val="0"/>
          <w:sz w:val="28"/>
          <w:szCs w:val="28"/>
          <w:rtl/>
          <w14:ligatures w14:val="none"/>
        </w:rPr>
        <w:footnoteReference w:id="1"/>
      </w:r>
      <w:r w:rsidRPr="00C11242">
        <w:rPr>
          <w:rFonts w:asciiTheme="majorBidi" w:hAnsiTheme="majorBidi" w:cstheme="majorBidi"/>
          <w:kern w:val="0"/>
          <w:sz w:val="28"/>
          <w:szCs w:val="28"/>
          <w:rtl/>
          <w14:ligatures w14:val="none"/>
        </w:rPr>
        <w:t xml:space="preserve"> כמו שנאמר </w:t>
      </w:r>
      <w:r w:rsidRPr="00C11242">
        <w:rPr>
          <w:rFonts w:asciiTheme="majorBidi" w:hAnsiTheme="majorBidi" w:cstheme="majorBidi"/>
          <w:b/>
          <w:bCs/>
          <w:kern w:val="0"/>
          <w:sz w:val="28"/>
          <w:szCs w:val="28"/>
          <w:rtl/>
          <w14:ligatures w14:val="none"/>
        </w:rPr>
        <w:t>בדניאל</w:t>
      </w:r>
      <w:r w:rsidRPr="00C11242">
        <w:rPr>
          <w:rFonts w:asciiTheme="majorBidi" w:hAnsiTheme="majorBidi" w:cstheme="majorBidi"/>
          <w:kern w:val="0"/>
          <w:sz w:val="28"/>
          <w:szCs w:val="28"/>
          <w:rtl/>
          <w14:ligatures w14:val="none"/>
        </w:rPr>
        <w:t xml:space="preserve"> </w:t>
      </w:r>
      <w:r w:rsidRPr="00C11242">
        <w:rPr>
          <w:rFonts w:asciiTheme="majorBidi" w:hAnsiTheme="majorBidi" w:cstheme="majorBidi"/>
          <w:kern w:val="0"/>
          <w:sz w:val="24"/>
          <w:szCs w:val="24"/>
          <w:rtl/>
          <w14:ligatures w14:val="none"/>
        </w:rPr>
        <w:t xml:space="preserve">(ד, טז) </w:t>
      </w:r>
      <w:r w:rsidRPr="00C11242">
        <w:rPr>
          <w:rFonts w:asciiTheme="majorBidi" w:hAnsiTheme="majorBidi" w:cstheme="majorBidi"/>
          <w:kern w:val="0"/>
          <w:sz w:val="28"/>
          <w:szCs w:val="28"/>
          <w:rtl/>
          <w14:ligatures w14:val="none"/>
        </w:rPr>
        <w:t>''אֱדַיִן דָּנִיֵּאל דִּי שְׁמֵהּ בֵּלְטְשַׁאצַּר אֶשְׁתּוֹמַם כְּשָׁעָה חֲדָה וְרַעְיֹנֹהִי יְבַהֲלֻנֵּהּ עָנֵה מַלְכָּא וְאָמַר בֵּלְטְשַׁאצַּר חֶלְמָא וּפִשְׁרֵא אַל יְבַהֲלָךְ עָנֵה בֵלְטְשַׁאצַּר וְאָמַר (מראי) מָרִי חֶלְמָא (לשנאיך) לְשָׂנְאָךְ וּפִשְׁרֵהּ (לעריך) לְעָרָךְ</w:t>
      </w:r>
      <w:r w:rsidRPr="00C11242">
        <w:rPr>
          <w:rFonts w:asciiTheme="majorBidi" w:hAnsiTheme="majorBidi" w:cstheme="majorBidi"/>
          <w:kern w:val="0"/>
          <w:sz w:val="28"/>
          <w:szCs w:val="28"/>
          <w:vertAlign w:val="superscript"/>
          <w:rtl/>
          <w14:ligatures w14:val="none"/>
        </w:rPr>
        <w:footnoteReference w:id="2"/>
      </w:r>
      <w:r w:rsidRPr="00C11242">
        <w:rPr>
          <w:rFonts w:asciiTheme="majorBidi" w:hAnsiTheme="majorBidi" w:cstheme="majorBidi"/>
          <w:kern w:val="0"/>
          <w:sz w:val="28"/>
          <w:szCs w:val="28"/>
          <w:rtl/>
          <w14:ligatures w14:val="none"/>
        </w:rPr>
        <w:t xml:space="preserve">'' וכן </w:t>
      </w:r>
      <w:r w:rsidRPr="00C11242">
        <w:rPr>
          <w:rFonts w:asciiTheme="majorBidi" w:hAnsiTheme="majorBidi" w:cstheme="majorBidi"/>
          <w:b/>
          <w:bCs/>
          <w:kern w:val="0"/>
          <w:sz w:val="28"/>
          <w:szCs w:val="28"/>
          <w:rtl/>
          <w14:ligatures w14:val="none"/>
        </w:rPr>
        <w:t>בנחמיה</w:t>
      </w:r>
      <w:r w:rsidRPr="00C11242">
        <w:rPr>
          <w:rFonts w:asciiTheme="majorBidi" w:hAnsiTheme="majorBidi" w:cstheme="majorBidi"/>
          <w:kern w:val="0"/>
          <w:sz w:val="28"/>
          <w:szCs w:val="28"/>
          <w:rtl/>
          <w14:ligatures w14:val="none"/>
        </w:rPr>
        <w:t xml:space="preserve"> </w:t>
      </w:r>
      <w:r w:rsidRPr="00C11242">
        <w:rPr>
          <w:rFonts w:asciiTheme="majorBidi" w:hAnsiTheme="majorBidi" w:cstheme="majorBidi"/>
          <w:kern w:val="0"/>
          <w:sz w:val="24"/>
          <w:szCs w:val="24"/>
          <w:rtl/>
          <w14:ligatures w14:val="none"/>
        </w:rPr>
        <w:t xml:space="preserve">(ב, ד) </w:t>
      </w:r>
      <w:r w:rsidRPr="00C11242">
        <w:rPr>
          <w:rFonts w:asciiTheme="majorBidi" w:hAnsiTheme="majorBidi" w:cstheme="majorBidi"/>
          <w:kern w:val="0"/>
          <w:sz w:val="28"/>
          <w:szCs w:val="28"/>
          <w:rtl/>
          <w14:ligatures w14:val="none"/>
        </w:rPr>
        <w:t xml:space="preserve">''וַיֹּאמֶר לִי הַמֶּלֶךְ עַל מַה זֶּה אַתָּה מְבַקֵּשׁ וָאֶתְפַּלֵּל אֶל אֱלֹהֵי הַשָּׁמָיִם'', וכן היה כאן שבלבה היה בהקב''ה והיתה מחשבתה על אחשורוש ומחמת הדמיון הזה טעתה ומחוי בידה כלפי אחשורוש ובא מלאך וסטר ידה כלפי המן. </w:t>
      </w:r>
    </w:p>
    <w:p w14:paraId="3292B54E" w14:textId="77777777" w:rsidR="00036E24" w:rsidRPr="00C11242" w:rsidRDefault="00036E24" w:rsidP="00036E24">
      <w:pPr>
        <w:bidi/>
        <w:jc w:val="both"/>
        <w:rPr>
          <w:rFonts w:asciiTheme="majorBidi" w:hAnsiTheme="majorBidi" w:cstheme="majorBidi"/>
          <w:kern w:val="0"/>
          <w:sz w:val="28"/>
          <w:szCs w:val="28"/>
          <w:rtl/>
          <w14:ligatures w14:val="none"/>
        </w:rPr>
      </w:pPr>
    </w:p>
    <w:p w14:paraId="14D7D330" w14:textId="77777777" w:rsidR="00036E24" w:rsidRPr="00C11242" w:rsidRDefault="00036E24" w:rsidP="00036E24">
      <w:pPr>
        <w:bidi/>
        <w:jc w:val="both"/>
        <w:rPr>
          <w:rFonts w:asciiTheme="majorBidi" w:hAnsiTheme="majorBidi" w:cstheme="majorBidi"/>
          <w:sz w:val="28"/>
          <w:szCs w:val="28"/>
        </w:rPr>
      </w:pPr>
    </w:p>
    <w:sectPr w:rsidR="00036E24" w:rsidRPr="00C112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D93EF" w14:textId="77777777" w:rsidR="004C7F73" w:rsidRDefault="004C7F73" w:rsidP="00036E24">
      <w:pPr>
        <w:spacing w:after="0" w:line="240" w:lineRule="auto"/>
      </w:pPr>
      <w:r>
        <w:separator/>
      </w:r>
    </w:p>
  </w:endnote>
  <w:endnote w:type="continuationSeparator" w:id="0">
    <w:p w14:paraId="60CDCD61" w14:textId="77777777" w:rsidR="004C7F73" w:rsidRDefault="004C7F73" w:rsidP="00036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DE2A2" w14:textId="77777777" w:rsidR="004C7F73" w:rsidRDefault="004C7F73" w:rsidP="00036E24">
      <w:pPr>
        <w:spacing w:after="0" w:line="240" w:lineRule="auto"/>
      </w:pPr>
      <w:r>
        <w:separator/>
      </w:r>
    </w:p>
  </w:footnote>
  <w:footnote w:type="continuationSeparator" w:id="0">
    <w:p w14:paraId="1FA34BDC" w14:textId="77777777" w:rsidR="004C7F73" w:rsidRDefault="004C7F73" w:rsidP="00036E24">
      <w:pPr>
        <w:spacing w:after="0" w:line="240" w:lineRule="auto"/>
      </w:pPr>
      <w:r>
        <w:continuationSeparator/>
      </w:r>
    </w:p>
  </w:footnote>
  <w:footnote w:id="1">
    <w:p w14:paraId="1BFFC842" w14:textId="56189C12" w:rsidR="00EB6BFC" w:rsidRPr="00C11242" w:rsidRDefault="00EB6BFC" w:rsidP="00EB6BFC">
      <w:pPr>
        <w:pStyle w:val="Notedebasdepage"/>
        <w:bidi/>
        <w:jc w:val="both"/>
        <w:rPr>
          <w:rFonts w:ascii="Times New Roman" w:hAnsi="Times New Roman" w:cs="Times New Roman"/>
          <w:rtl/>
        </w:rPr>
      </w:pPr>
      <w:r w:rsidRPr="00C11242">
        <w:rPr>
          <w:rStyle w:val="Appelnotedebasdep"/>
          <w:rFonts w:ascii="Times New Roman" w:hAnsi="Times New Roman" w:cs="Times New Roman"/>
        </w:rPr>
        <w:footnoteRef/>
      </w:r>
      <w:r w:rsidRPr="00C11242">
        <w:rPr>
          <w:rFonts w:ascii="Times New Roman" w:hAnsi="Times New Roman" w:cs="Times New Roman"/>
        </w:rPr>
        <w:t xml:space="preserve"> </w:t>
      </w:r>
      <w:r w:rsidRPr="00C11242">
        <w:rPr>
          <w:rFonts w:ascii="Times New Roman" w:hAnsi="Times New Roman" w:cs="Times New Roman"/>
          <w:rtl/>
        </w:rPr>
        <w:t xml:space="preserve"> עי' </w:t>
      </w:r>
      <w:r w:rsidRPr="00C11242">
        <w:rPr>
          <w:rFonts w:ascii="Times New Roman" w:hAnsi="Times New Roman" w:cs="Times New Roman"/>
          <w:b/>
          <w:bCs/>
          <w:rtl/>
        </w:rPr>
        <w:t>בש''ע</w:t>
      </w:r>
      <w:r w:rsidRPr="00C11242">
        <w:rPr>
          <w:rFonts w:ascii="Times New Roman" w:hAnsi="Times New Roman" w:cs="Times New Roman"/>
          <w:rtl/>
        </w:rPr>
        <w:t xml:space="preserve"> </w:t>
      </w:r>
      <w:r w:rsidRPr="00C11242">
        <w:rPr>
          <w:rFonts w:ascii="Times New Roman" w:hAnsi="Times New Roman" w:cs="Times New Roman"/>
          <w:sz w:val="18"/>
          <w:szCs w:val="18"/>
          <w:rtl/>
        </w:rPr>
        <w:t xml:space="preserve">(סי' צה ס''א) </w:t>
      </w:r>
      <w:r w:rsidRPr="00C11242">
        <w:rPr>
          <w:rFonts w:ascii="Times New Roman" w:hAnsi="Times New Roman" w:cs="Times New Roman"/>
          <w:rtl/>
        </w:rPr>
        <w:t xml:space="preserve">שכותב ''יְכַוֵּן רַגְלָיו זֶה אֵצֶל זֶה בְּכִוּוּן, כְּאִלּוּ אֵינָם אֶלָּא א', לְהִדָּמוֹת לְמַלְאָכִים דִּכְתִּיב בָּהֶן: וְרַגְלֵיהֶם רֶגֶל יְשָׁרָה (יְחֶזְקֵאל א, ז) כְּלוֹמַר: רַגְלֵיהֶם נִרְאִים כְּרֶגֶל אֶחָד וְיֵשׁ אוֹמְרִים כְּשֶׁעוֹמֵד לְהִתְפַּלֵּל יֵלֵךְ לְפָנָיו ג' פְּסִיעוֹת, דֶּרֶךְ קֵרוּב וְהַגָּשָׁה לַדָּבָר שֶׁצָּרִיךְ לַעֲשׂוֹת </w:t>
      </w:r>
      <w:r w:rsidRPr="00C11242">
        <w:rPr>
          <w:rFonts w:ascii="Times New Roman" w:hAnsi="Times New Roman" w:cs="Times New Roman"/>
          <w:sz w:val="18"/>
          <w:szCs w:val="18"/>
          <w:rtl/>
        </w:rPr>
        <w:t>(רוֹקֵחַ).</w:t>
      </w:r>
    </w:p>
    <w:p w14:paraId="35FEE618" w14:textId="2EF226D2" w:rsidR="00EB6BFC" w:rsidRPr="00C11242" w:rsidRDefault="00EB6BFC" w:rsidP="00EB6BFC">
      <w:pPr>
        <w:pStyle w:val="Notedebasdepage"/>
        <w:bidi/>
        <w:jc w:val="both"/>
        <w:rPr>
          <w:rFonts w:ascii="Times New Roman" w:hAnsi="Times New Roman" w:cs="Times New Roman"/>
          <w:rtl/>
        </w:rPr>
      </w:pPr>
      <w:r w:rsidRPr="00C11242">
        <w:rPr>
          <w:rFonts w:ascii="Times New Roman" w:hAnsi="Times New Roman" w:cs="Times New Roman"/>
          <w:rtl/>
        </w:rPr>
        <w:t xml:space="preserve">ועי' </w:t>
      </w:r>
      <w:r w:rsidRPr="00C11242">
        <w:rPr>
          <w:rFonts w:ascii="Times New Roman" w:hAnsi="Times New Roman" w:cs="Times New Roman"/>
          <w:b/>
          <w:bCs/>
          <w:rtl/>
        </w:rPr>
        <w:t>בביאור הגר"א</w:t>
      </w:r>
      <w:r w:rsidRPr="00C11242">
        <w:rPr>
          <w:rFonts w:ascii="Times New Roman" w:hAnsi="Times New Roman" w:cs="Times New Roman"/>
          <w:rtl/>
        </w:rPr>
        <w:t xml:space="preserve"> </w:t>
      </w:r>
      <w:r w:rsidRPr="00C11242">
        <w:rPr>
          <w:rFonts w:ascii="Times New Roman" w:hAnsi="Times New Roman" w:cs="Times New Roman"/>
          <w:sz w:val="18"/>
          <w:szCs w:val="18"/>
          <w:rtl/>
        </w:rPr>
        <w:t xml:space="preserve">(שם) </w:t>
      </w:r>
      <w:r w:rsidRPr="00C11242">
        <w:rPr>
          <w:rFonts w:ascii="Times New Roman" w:hAnsi="Times New Roman" w:cs="Times New Roman"/>
          <w:rtl/>
        </w:rPr>
        <w:t>שהג' פסיעות הם נגד ג' הגשות לתפלה: ויגש אברהם, ויגש יהודה, ויגש אליהו, ושמעתי ששואלים בשלמא לגבי אברהם ואליהו היתה שם גישה להתפלל אלא יהודה קשה כי היתה הגישה אל יוסף ולא לה', ותירץ שהגר''א לשיטתו כאן שגם כאשר הצדיקים מדברים עם מלך, מחשבתם דבוקה להקב''ה.</w:t>
      </w:r>
    </w:p>
  </w:footnote>
  <w:footnote w:id="2">
    <w:p w14:paraId="41423A17" w14:textId="77777777" w:rsidR="00036E24" w:rsidRPr="00C11242" w:rsidRDefault="00036E24" w:rsidP="00036E24">
      <w:pPr>
        <w:pStyle w:val="Notedebasdepage"/>
        <w:bidi/>
        <w:jc w:val="both"/>
        <w:rPr>
          <w:rFonts w:ascii="Times New Roman" w:hAnsi="Times New Roman" w:cs="Times New Roman"/>
          <w:rtl/>
        </w:rPr>
      </w:pPr>
      <w:r w:rsidRPr="00C11242">
        <w:rPr>
          <w:rStyle w:val="Appelnotedebasdep"/>
          <w:rFonts w:ascii="Times New Roman" w:hAnsi="Times New Roman" w:cs="Times New Roman"/>
        </w:rPr>
        <w:footnoteRef/>
      </w:r>
      <w:r w:rsidRPr="00C11242">
        <w:rPr>
          <w:rFonts w:ascii="Times New Roman" w:hAnsi="Times New Roman" w:cs="Times New Roman"/>
        </w:rPr>
        <w:t xml:space="preserve"> </w:t>
      </w:r>
      <w:r w:rsidRPr="00C11242">
        <w:rPr>
          <w:rFonts w:ascii="Times New Roman" w:hAnsi="Times New Roman" w:cs="Times New Roman"/>
          <w:rtl/>
        </w:rPr>
        <w:t xml:space="preserve"> וכותב </w:t>
      </w:r>
      <w:r w:rsidRPr="00C11242">
        <w:rPr>
          <w:rFonts w:ascii="Times New Roman" w:hAnsi="Times New Roman" w:cs="Times New Roman"/>
          <w:b/>
          <w:bCs/>
          <w:rtl/>
        </w:rPr>
        <w:t>רש''י</w:t>
      </w:r>
      <w:r w:rsidRPr="00C11242">
        <w:rPr>
          <w:rFonts w:ascii="Times New Roman" w:hAnsi="Times New Roman" w:cs="Times New Roman"/>
          <w:rtl/>
        </w:rPr>
        <w:t xml:space="preserve"> ''אדין דניאל. אשתומם. שתק : ורעינוהי. ומחשבותיו : יבהלוניה. שהיה ירא לפתור לו חלום : מרי. אדוני, אמרו רבותינו מארי חלמא לשנאך קדש הוא תלה עיניו להקב''ה ואמר חלום זה יתקיים על שנאך זה וא''ת לנבוכדנצר אמר והלא ישראל שונאו אפשר שיקללם : לערך. לשונאך כמו ויהי ערך (שמואל א כה)''.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24"/>
    <w:rsid w:val="00036E24"/>
    <w:rsid w:val="001D2779"/>
    <w:rsid w:val="00290858"/>
    <w:rsid w:val="002A0179"/>
    <w:rsid w:val="004C7F73"/>
    <w:rsid w:val="00BD67CB"/>
    <w:rsid w:val="00C11242"/>
    <w:rsid w:val="00EB6BF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2F16"/>
  <w15:chartTrackingRefBased/>
  <w15:docId w15:val="{6CA1DE30-4B28-469E-8954-7458E703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036E24"/>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036E24"/>
    <w:rPr>
      <w:noProof/>
      <w:kern w:val="0"/>
      <w:sz w:val="20"/>
      <w:szCs w:val="20"/>
      <w14:ligatures w14:val="none"/>
    </w:rPr>
  </w:style>
  <w:style w:type="character" w:styleId="Appelnotedebasdep">
    <w:name w:val="footnote reference"/>
    <w:basedOn w:val="Policepardfaut"/>
    <w:uiPriority w:val="99"/>
    <w:semiHidden/>
    <w:unhideWhenUsed/>
    <w:rsid w:val="00036E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1E80E-C465-4D60-84F1-B1EE6325D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184</Words>
  <Characters>1016</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2024-01-11T17:46:00Z</dcterms:created>
  <dcterms:modified xsi:type="dcterms:W3CDTF">2025-04-17T05:44:00Z</dcterms:modified>
</cp:coreProperties>
</file>