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F52AA" w14:textId="0BFA4284" w:rsidR="001D2779" w:rsidRPr="002564C7" w:rsidRDefault="00BE60FD" w:rsidP="002564C7">
      <w:pPr>
        <w:bidi/>
        <w:ind w:left="3540"/>
        <w:jc w:val="both"/>
        <w:rPr>
          <w:sz w:val="56"/>
          <w:szCs w:val="56"/>
          <w:u w:val="single"/>
          <w:rtl/>
        </w:rPr>
      </w:pPr>
      <w:r w:rsidRPr="002564C7">
        <w:rPr>
          <w:rFonts w:hint="cs"/>
          <w:sz w:val="56"/>
          <w:szCs w:val="56"/>
          <w:u w:val="single"/>
          <w:rtl/>
        </w:rPr>
        <w:t>הכרח</w:t>
      </w:r>
    </w:p>
    <w:p w14:paraId="1AD67030" w14:textId="2F9A97B0" w:rsidR="00BE60FD" w:rsidRDefault="00BE60FD" w:rsidP="00BE60FD">
      <w:pPr>
        <w:bidi/>
        <w:jc w:val="both"/>
        <w:rPr>
          <w:sz w:val="28"/>
          <w:szCs w:val="28"/>
          <w:rtl/>
        </w:rPr>
      </w:pPr>
    </w:p>
    <w:p w14:paraId="58BA01E5" w14:textId="72E7888D" w:rsidR="00BE60FD" w:rsidRDefault="00BE60FD" w:rsidP="00BE60FD">
      <w:pPr>
        <w:bidi/>
        <w:jc w:val="both"/>
        <w:rPr>
          <w:sz w:val="28"/>
          <w:szCs w:val="28"/>
          <w:rtl/>
        </w:rPr>
      </w:pPr>
    </w:p>
    <w:p w14:paraId="376E8BAC" w14:textId="734FE9A0" w:rsidR="00BE60FD" w:rsidRDefault="00BE60FD" w:rsidP="00BE60FD">
      <w:pPr>
        <w:bidi/>
        <w:jc w:val="both"/>
        <w:rPr>
          <w:sz w:val="28"/>
          <w:szCs w:val="28"/>
          <w:rtl/>
        </w:rPr>
      </w:pPr>
    </w:p>
    <w:p w14:paraId="5BC28B2C" w14:textId="6F28AF64" w:rsidR="00BE60FD" w:rsidRDefault="00BE60FD" w:rsidP="00BE60FD">
      <w:pPr>
        <w:bidi/>
        <w:jc w:val="both"/>
        <w:rPr>
          <w:sz w:val="28"/>
          <w:szCs w:val="28"/>
          <w:rtl/>
        </w:rPr>
      </w:pPr>
      <w:r>
        <w:rPr>
          <w:rFonts w:hint="cs"/>
          <w:sz w:val="28"/>
          <w:szCs w:val="28"/>
          <w:rtl/>
        </w:rPr>
        <w:t xml:space="preserve">עי' </w:t>
      </w:r>
      <w:r w:rsidRPr="002564C7">
        <w:rPr>
          <w:rFonts w:hint="cs"/>
          <w:b/>
          <w:bCs/>
          <w:sz w:val="28"/>
          <w:szCs w:val="28"/>
          <w:rtl/>
        </w:rPr>
        <w:t>המהרש''א</w:t>
      </w:r>
      <w:r w:rsidRPr="002564C7">
        <w:rPr>
          <w:rFonts w:hint="cs"/>
          <w:sz w:val="24"/>
          <w:szCs w:val="24"/>
          <w:rtl/>
        </w:rPr>
        <w:t xml:space="preserve">(ד''ה על דעתך) </w:t>
      </w:r>
      <w:r w:rsidRPr="002564C7">
        <w:rPr>
          <w:rFonts w:hint="cs"/>
          <w:b/>
          <w:bCs/>
          <w:sz w:val="28"/>
          <w:szCs w:val="28"/>
          <w:rtl/>
        </w:rPr>
        <w:t>בב''ב</w:t>
      </w:r>
      <w:r w:rsidRPr="002564C7">
        <w:rPr>
          <w:rFonts w:hint="cs"/>
          <w:sz w:val="24"/>
          <w:szCs w:val="24"/>
          <w:rtl/>
        </w:rPr>
        <w:t xml:space="preserve">(דף טז.) </w:t>
      </w:r>
      <w:r>
        <w:rPr>
          <w:rFonts w:hint="cs"/>
          <w:sz w:val="28"/>
          <w:szCs w:val="28"/>
          <w:rtl/>
        </w:rPr>
        <w:t xml:space="preserve">שכתב לגבי הטענה של איוב כלפי הקב''ה ''בראת שור פרסותיו...'' עיי''ש בגמ' וז''ל </w:t>
      </w:r>
      <w:r w:rsidRPr="002564C7">
        <w:rPr>
          <w:rFonts w:hint="cs"/>
          <w:b/>
          <w:bCs/>
          <w:sz w:val="28"/>
          <w:szCs w:val="28"/>
          <w:rtl/>
        </w:rPr>
        <w:t>המהרש''א</w:t>
      </w:r>
      <w:r>
        <w:rPr>
          <w:rFonts w:hint="cs"/>
          <w:sz w:val="28"/>
          <w:szCs w:val="28"/>
          <w:rtl/>
        </w:rPr>
        <w:t xml:space="preserve"> ''..והשור לא ישובח והחמור לא יגונה לקבל שכר או עונש כיון שכל אחד מוכרח על טבעו מצד הבריאה </w:t>
      </w:r>
      <w:r w:rsidRPr="002564C7">
        <w:rPr>
          <w:rFonts w:hint="cs"/>
          <w:sz w:val="28"/>
          <w:szCs w:val="28"/>
          <w:u w:val="single"/>
          <w:rtl/>
        </w:rPr>
        <w:t>כמו שאמר הפילוסוף ההכרח לא ישובח ולא יגונה</w:t>
      </w:r>
      <w:r>
        <w:rPr>
          <w:rFonts w:hint="cs"/>
          <w:sz w:val="28"/>
          <w:szCs w:val="28"/>
          <w:rtl/>
        </w:rPr>
        <w:t xml:space="preserve"> וכמו שהביא </w:t>
      </w:r>
      <w:r w:rsidRPr="002564C7">
        <w:rPr>
          <w:rFonts w:hint="cs"/>
          <w:b/>
          <w:bCs/>
          <w:sz w:val="28"/>
          <w:szCs w:val="28"/>
          <w:rtl/>
        </w:rPr>
        <w:t>ההוא סבא</w:t>
      </w:r>
      <w:r>
        <w:rPr>
          <w:rFonts w:hint="cs"/>
          <w:sz w:val="28"/>
          <w:szCs w:val="28"/>
          <w:rtl/>
        </w:rPr>
        <w:t xml:space="preserve"> </w:t>
      </w:r>
      <w:r w:rsidRPr="002564C7">
        <w:rPr>
          <w:rFonts w:hint="cs"/>
          <w:b/>
          <w:bCs/>
          <w:sz w:val="28"/>
          <w:szCs w:val="28"/>
          <w:rtl/>
        </w:rPr>
        <w:t>לרשב''א</w:t>
      </w:r>
      <w:r>
        <w:rPr>
          <w:rStyle w:val="Appelnotedebasdep"/>
          <w:sz w:val="28"/>
          <w:szCs w:val="28"/>
          <w:rtl/>
        </w:rPr>
        <w:footnoteReference w:id="1"/>
      </w:r>
      <w:r>
        <w:rPr>
          <w:rFonts w:hint="cs"/>
          <w:sz w:val="28"/>
          <w:szCs w:val="28"/>
          <w:rtl/>
        </w:rPr>
        <w:t xml:space="preserve"> לך לאומן שעשאני''.</w:t>
      </w:r>
    </w:p>
    <w:p w14:paraId="06DD9514" w14:textId="377B64E2" w:rsidR="002564C7" w:rsidRPr="00BE60FD" w:rsidRDefault="002564C7" w:rsidP="002564C7">
      <w:pPr>
        <w:bidi/>
        <w:jc w:val="both"/>
        <w:rPr>
          <w:sz w:val="28"/>
          <w:szCs w:val="28"/>
        </w:rPr>
      </w:pPr>
      <w:r>
        <w:rPr>
          <w:rFonts w:hint="cs"/>
          <w:sz w:val="28"/>
          <w:szCs w:val="28"/>
          <w:rtl/>
        </w:rPr>
        <w:t xml:space="preserve">והנה אע''פ שכל אחד יש לו את הבחירה לבחור בטוב יש אנשים שנבראו עם מידות רעות יותר ויש עם מידות טובות יותר, ואל ידון ויכעיס האדם עם מידות טובות לזה שיש לו מידות רעות כי הוא חושב שבנקל יכול לשנות וזה אינו אלא שה' ברא אותו עם קשיים מסוימים ואם ההוא היה לו אותם קשיים לא בטוח שהיה עושה יותר טוב ממנו, אלא </w:t>
      </w:r>
      <w:r w:rsidRPr="002564C7">
        <w:rPr>
          <w:rFonts w:hint="cs"/>
          <w:sz w:val="28"/>
          <w:szCs w:val="28"/>
          <w:u w:val="single"/>
          <w:rtl/>
        </w:rPr>
        <w:t>שהאדם קשה לו לחשוב שהשני הוא שונה ממנו</w:t>
      </w:r>
      <w:r>
        <w:rPr>
          <w:rFonts w:hint="cs"/>
          <w:sz w:val="28"/>
          <w:szCs w:val="28"/>
          <w:rtl/>
        </w:rPr>
        <w:t xml:space="preserve"> וכמו שכתב </w:t>
      </w:r>
      <w:r w:rsidRPr="002564C7">
        <w:rPr>
          <w:rFonts w:hint="cs"/>
          <w:b/>
          <w:bCs/>
          <w:sz w:val="28"/>
          <w:szCs w:val="28"/>
          <w:rtl/>
        </w:rPr>
        <w:t>רש''י</w:t>
      </w:r>
      <w:r w:rsidRPr="002564C7">
        <w:rPr>
          <w:rFonts w:hint="cs"/>
          <w:sz w:val="24"/>
          <w:szCs w:val="24"/>
          <w:rtl/>
        </w:rPr>
        <w:t xml:space="preserve">(ד''ה ומתוך) </w:t>
      </w:r>
      <w:r w:rsidRPr="002564C7">
        <w:rPr>
          <w:rFonts w:hint="cs"/>
          <w:b/>
          <w:bCs/>
          <w:sz w:val="28"/>
          <w:szCs w:val="28"/>
          <w:rtl/>
        </w:rPr>
        <w:t>בחולין</w:t>
      </w:r>
      <w:r w:rsidRPr="002564C7">
        <w:rPr>
          <w:rFonts w:hint="cs"/>
          <w:sz w:val="24"/>
          <w:szCs w:val="24"/>
          <w:rtl/>
        </w:rPr>
        <w:t xml:space="preserve">(דף קי.) </w:t>
      </w:r>
      <w:r>
        <w:rPr>
          <w:rFonts w:hint="cs"/>
          <w:sz w:val="28"/>
          <w:szCs w:val="28"/>
          <w:rtl/>
        </w:rPr>
        <w:t>''</w:t>
      </w:r>
      <w:r w:rsidRPr="002564C7">
        <w:rPr>
          <w:sz w:val="28"/>
          <w:szCs w:val="28"/>
          <w:rtl/>
        </w:rPr>
        <w:t>שהוא מחודד מאד ומבין מעצמו וכסבור שתלמידיו מחודדין כמותו</w:t>
      </w:r>
      <w:r>
        <w:rPr>
          <w:rFonts w:hint="cs"/>
          <w:sz w:val="28"/>
          <w:szCs w:val="28"/>
          <w:rtl/>
        </w:rPr>
        <w:t>''.</w:t>
      </w:r>
    </w:p>
    <w:sectPr w:rsidR="002564C7" w:rsidRPr="00BE60F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CD9BC" w14:textId="77777777" w:rsidR="00624D0A" w:rsidRDefault="00624D0A" w:rsidP="00BE60FD">
      <w:pPr>
        <w:spacing w:after="0" w:line="240" w:lineRule="auto"/>
      </w:pPr>
      <w:r>
        <w:separator/>
      </w:r>
    </w:p>
  </w:endnote>
  <w:endnote w:type="continuationSeparator" w:id="0">
    <w:p w14:paraId="73FAF252" w14:textId="77777777" w:rsidR="00624D0A" w:rsidRDefault="00624D0A" w:rsidP="00BE6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C5013" w14:textId="77777777" w:rsidR="00624D0A" w:rsidRDefault="00624D0A" w:rsidP="00BE60FD">
      <w:pPr>
        <w:spacing w:after="0" w:line="240" w:lineRule="auto"/>
      </w:pPr>
      <w:r>
        <w:separator/>
      </w:r>
    </w:p>
  </w:footnote>
  <w:footnote w:type="continuationSeparator" w:id="0">
    <w:p w14:paraId="480C9A38" w14:textId="77777777" w:rsidR="00624D0A" w:rsidRDefault="00624D0A" w:rsidP="00BE60FD">
      <w:pPr>
        <w:spacing w:after="0" w:line="240" w:lineRule="auto"/>
      </w:pPr>
      <w:r>
        <w:continuationSeparator/>
      </w:r>
    </w:p>
  </w:footnote>
  <w:footnote w:id="1">
    <w:p w14:paraId="3950FA06" w14:textId="15E1DB51" w:rsidR="00BE60FD" w:rsidRDefault="00BE60FD" w:rsidP="00BE60FD">
      <w:pPr>
        <w:pStyle w:val="Notedebasdepage"/>
        <w:bidi/>
        <w:jc w:val="both"/>
        <w:rPr>
          <w:rFonts w:hint="cs"/>
          <w:rtl/>
        </w:rPr>
      </w:pPr>
      <w:r>
        <w:rPr>
          <w:rStyle w:val="Appelnotedebasdep"/>
        </w:rPr>
        <w:footnoteRef/>
      </w:r>
      <w:r>
        <w:t xml:space="preserve"> </w:t>
      </w:r>
      <w:r>
        <w:rPr>
          <w:rFonts w:hint="cs"/>
          <w:rtl/>
        </w:rPr>
        <w:t xml:space="preserve"> תענית(דף כ:).</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0FD"/>
    <w:rsid w:val="001D2779"/>
    <w:rsid w:val="002564C7"/>
    <w:rsid w:val="00624D0A"/>
    <w:rsid w:val="00BE60F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44D50"/>
  <w15:chartTrackingRefBased/>
  <w15:docId w15:val="{A77AA2CA-0A21-4D0B-B52F-379FB04DE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BE60F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E60FD"/>
    <w:rPr>
      <w:noProof/>
      <w:sz w:val="20"/>
      <w:szCs w:val="20"/>
    </w:rPr>
  </w:style>
  <w:style w:type="character" w:styleId="Appelnotedebasdep">
    <w:name w:val="footnote reference"/>
    <w:basedOn w:val="Policepardfaut"/>
    <w:uiPriority w:val="99"/>
    <w:semiHidden/>
    <w:unhideWhenUsed/>
    <w:rsid w:val="00BE60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C7DFD-DC14-4734-B24D-31367C943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117</Words>
  <Characters>644</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2022-06-17T07:52:00Z</dcterms:created>
  <dcterms:modified xsi:type="dcterms:W3CDTF">2022-06-17T08:07:00Z</dcterms:modified>
</cp:coreProperties>
</file>