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8F46" w14:textId="5F7E97FB" w:rsidR="004B7068" w:rsidRPr="00CC6A7E" w:rsidRDefault="005A2F80" w:rsidP="005A2F80">
      <w:pPr>
        <w:bidi/>
        <w:ind w:left="2832"/>
        <w:jc w:val="both"/>
        <w:rPr>
          <w:rFonts w:asciiTheme="majorBidi" w:hAnsiTheme="majorBidi" w:cstheme="majorBidi"/>
          <w:sz w:val="56"/>
          <w:szCs w:val="56"/>
          <w:u w:val="single"/>
          <w:rtl/>
        </w:rPr>
      </w:pPr>
      <w:r w:rsidRPr="00CC6A7E">
        <w:rPr>
          <w:rFonts w:asciiTheme="majorBidi" w:hAnsiTheme="majorBidi" w:cstheme="majorBidi"/>
          <w:sz w:val="56"/>
          <w:szCs w:val="56"/>
          <w:u w:val="single"/>
          <w:rtl/>
        </w:rPr>
        <w:t xml:space="preserve">הרהורים רעים </w:t>
      </w:r>
    </w:p>
    <w:p w14:paraId="16995C37" w14:textId="14737044" w:rsidR="005A2F80" w:rsidRPr="00CC6A7E" w:rsidRDefault="005A2F80" w:rsidP="005A2F80">
      <w:pPr>
        <w:bidi/>
        <w:jc w:val="both"/>
        <w:rPr>
          <w:rFonts w:asciiTheme="majorBidi" w:hAnsiTheme="majorBidi" w:cstheme="majorBidi"/>
          <w:sz w:val="28"/>
          <w:szCs w:val="28"/>
          <w:rtl/>
        </w:rPr>
      </w:pPr>
    </w:p>
    <w:p w14:paraId="2BA6A2B7" w14:textId="32BD214B" w:rsidR="005A2F80" w:rsidRPr="00CC6A7E" w:rsidRDefault="005A2F80" w:rsidP="005A2F80">
      <w:pPr>
        <w:bidi/>
        <w:jc w:val="both"/>
        <w:rPr>
          <w:rFonts w:asciiTheme="majorBidi" w:hAnsiTheme="majorBidi" w:cstheme="majorBidi"/>
          <w:sz w:val="28"/>
          <w:szCs w:val="28"/>
          <w:rtl/>
        </w:rPr>
      </w:pPr>
    </w:p>
    <w:p w14:paraId="1CB319C8" w14:textId="1DF0D7D6" w:rsidR="005A2F80" w:rsidRPr="00CC6A7E" w:rsidRDefault="005A2F80" w:rsidP="005A2F80">
      <w:pPr>
        <w:bidi/>
        <w:jc w:val="both"/>
        <w:rPr>
          <w:rFonts w:asciiTheme="majorBidi" w:hAnsiTheme="majorBidi" w:cstheme="majorBidi"/>
          <w:sz w:val="28"/>
          <w:szCs w:val="28"/>
          <w:rtl/>
        </w:rPr>
      </w:pPr>
    </w:p>
    <w:p w14:paraId="3B94FFD7" w14:textId="71456BE5" w:rsidR="005A2F80" w:rsidRPr="00CC6A7E" w:rsidRDefault="00836107" w:rsidP="005A2F80">
      <w:pPr>
        <w:bidi/>
        <w:jc w:val="both"/>
        <w:rPr>
          <w:rFonts w:asciiTheme="majorBidi" w:hAnsiTheme="majorBidi" w:cstheme="majorBidi"/>
          <w:sz w:val="36"/>
          <w:szCs w:val="36"/>
          <w:u w:val="single"/>
          <w:rtl/>
        </w:rPr>
      </w:pPr>
      <w:r w:rsidRPr="00CC6A7E">
        <w:rPr>
          <w:rFonts w:asciiTheme="majorBidi" w:hAnsiTheme="majorBidi" w:cstheme="majorBidi"/>
          <w:sz w:val="36"/>
          <w:szCs w:val="36"/>
          <w:u w:val="single"/>
          <w:rtl/>
        </w:rPr>
        <w:t>לאונסא שאני</w:t>
      </w:r>
    </w:p>
    <w:p w14:paraId="311C7EB4" w14:textId="24A0A623" w:rsidR="005A2F80" w:rsidRDefault="005A2F80" w:rsidP="005A2F80">
      <w:pPr>
        <w:bidi/>
        <w:jc w:val="both"/>
        <w:rPr>
          <w:rFonts w:asciiTheme="majorBidi" w:hAnsiTheme="majorBidi" w:cstheme="majorBidi"/>
          <w:sz w:val="28"/>
          <w:szCs w:val="28"/>
          <w:rtl/>
        </w:rPr>
      </w:pPr>
      <w:r w:rsidRPr="00CC6A7E">
        <w:rPr>
          <w:rFonts w:asciiTheme="majorBidi" w:hAnsiTheme="majorBidi" w:cstheme="majorBidi"/>
          <w:sz w:val="28"/>
          <w:szCs w:val="28"/>
          <w:rtl/>
        </w:rPr>
        <w:t xml:space="preserve">עי' </w:t>
      </w:r>
      <w:r w:rsidRPr="00CC6A7E">
        <w:rPr>
          <w:rFonts w:asciiTheme="majorBidi" w:hAnsiTheme="majorBidi" w:cstheme="majorBidi"/>
          <w:b/>
          <w:bCs/>
          <w:sz w:val="28"/>
          <w:szCs w:val="28"/>
          <w:rtl/>
        </w:rPr>
        <w:t>קידושין</w:t>
      </w:r>
      <w:r w:rsidR="006B0FD4" w:rsidRPr="00CC6A7E">
        <w:rPr>
          <w:rFonts w:asciiTheme="majorBidi" w:hAnsiTheme="majorBidi" w:cstheme="majorBidi"/>
          <w:b/>
          <w:bCs/>
          <w:sz w:val="28"/>
          <w:szCs w:val="28"/>
          <w:rtl/>
        </w:rPr>
        <w:t xml:space="preserve"> </w:t>
      </w:r>
      <w:r w:rsidRPr="00CC6A7E">
        <w:rPr>
          <w:rFonts w:asciiTheme="majorBidi" w:hAnsiTheme="majorBidi" w:cstheme="majorBidi"/>
          <w:sz w:val="24"/>
          <w:szCs w:val="24"/>
          <w:rtl/>
        </w:rPr>
        <w:t xml:space="preserve">(דף לג.) </w:t>
      </w:r>
      <w:r w:rsidRPr="00CC6A7E">
        <w:rPr>
          <w:rFonts w:asciiTheme="majorBidi" w:hAnsiTheme="majorBidi" w:cstheme="majorBidi"/>
          <w:sz w:val="28"/>
          <w:szCs w:val="28"/>
          <w:rtl/>
        </w:rPr>
        <w:t>''לאונסיה שאני'', ולכאורה יהיה קשה לפי זה, איך מענישים רווק שיש לו הרהור רע, הרי זה בטבע האנושי שאדם מהרהר והעבירה היא להישאר עם אותה מחשבה, וכיון שזה בא ממילא בלי השתתפות עצמית, לאונסיה הוא כשממשיך את מחשבתו, דאל''כ מאי שני ממחשבת דברי תורה לפני שנכנס לבית הכסא.</w:t>
      </w:r>
    </w:p>
    <w:p w14:paraId="5D793394" w14:textId="77777777" w:rsidR="00CC6A7E" w:rsidRDefault="00CC6A7E" w:rsidP="00CC6A7E">
      <w:pPr>
        <w:bidi/>
        <w:jc w:val="both"/>
        <w:rPr>
          <w:rFonts w:asciiTheme="majorBidi" w:hAnsiTheme="majorBidi" w:cstheme="majorBidi"/>
          <w:sz w:val="28"/>
          <w:szCs w:val="28"/>
          <w:rtl/>
        </w:rPr>
      </w:pPr>
    </w:p>
    <w:p w14:paraId="172D512C" w14:textId="1BB225E0" w:rsidR="00CC6A7E" w:rsidRPr="00CC6A7E" w:rsidRDefault="00CC6A7E" w:rsidP="00CC6A7E">
      <w:pPr>
        <w:bidi/>
        <w:jc w:val="both"/>
        <w:rPr>
          <w:rFonts w:asciiTheme="majorBidi" w:hAnsiTheme="majorBidi" w:cstheme="majorBidi"/>
          <w:sz w:val="36"/>
          <w:szCs w:val="36"/>
          <w:u w:val="single"/>
          <w:rtl/>
        </w:rPr>
      </w:pPr>
      <w:r w:rsidRPr="00CC6A7E">
        <w:rPr>
          <w:rFonts w:asciiTheme="majorBidi" w:hAnsiTheme="majorBidi" w:cstheme="majorBidi" w:hint="cs"/>
          <w:sz w:val="36"/>
          <w:szCs w:val="36"/>
          <w:u w:val="single"/>
          <w:rtl/>
        </w:rPr>
        <w:t>אין אדם ניצול ממנה</w:t>
      </w:r>
    </w:p>
    <w:p w14:paraId="3BE793F7" w14:textId="2B6616E8" w:rsidR="00CC6A7E" w:rsidRPr="00CC6A7E" w:rsidRDefault="00CC6A7E" w:rsidP="00CC6A7E">
      <w:pPr>
        <w:bidi/>
        <w:jc w:val="both"/>
        <w:rPr>
          <w:rFonts w:asciiTheme="majorBidi" w:hAnsiTheme="majorBidi" w:cstheme="majorBidi"/>
          <w:sz w:val="28"/>
          <w:szCs w:val="28"/>
          <w:rtl/>
        </w:rPr>
      </w:pPr>
      <w:r>
        <w:rPr>
          <w:rFonts w:asciiTheme="majorBidi" w:hAnsiTheme="majorBidi" w:cs="Times New Roman" w:hint="cs"/>
          <w:sz w:val="28"/>
          <w:szCs w:val="28"/>
          <w:rtl/>
        </w:rPr>
        <w:t xml:space="preserve">כתב </w:t>
      </w:r>
      <w:r w:rsidRPr="00CC6A7E">
        <w:rPr>
          <w:rFonts w:asciiTheme="majorBidi" w:hAnsiTheme="majorBidi" w:cs="Times New Roman"/>
          <w:b/>
          <w:bCs/>
          <w:sz w:val="28"/>
          <w:szCs w:val="28"/>
          <w:rtl/>
        </w:rPr>
        <w:t>רבינו בחיי</w:t>
      </w:r>
      <w:r w:rsidRPr="00CC6A7E">
        <w:rPr>
          <w:rFonts w:asciiTheme="majorBidi" w:hAnsiTheme="majorBidi" w:cs="Times New Roman"/>
          <w:sz w:val="28"/>
          <w:szCs w:val="28"/>
          <w:rtl/>
        </w:rPr>
        <w:t xml:space="preserve"> </w:t>
      </w:r>
      <w:r w:rsidRPr="00CC6A7E">
        <w:rPr>
          <w:rFonts w:asciiTheme="majorBidi" w:hAnsiTheme="majorBidi" w:cs="Times New Roman" w:hint="cs"/>
          <w:sz w:val="24"/>
          <w:szCs w:val="24"/>
          <w:rtl/>
        </w:rPr>
        <w:t>(סוף פתיחת פר' צו)</w:t>
      </w:r>
      <w:r w:rsidRPr="00CC6A7E">
        <w:rPr>
          <w:rFonts w:asciiTheme="majorBidi" w:hAnsiTheme="majorBidi" w:cs="Times New Roman"/>
          <w:sz w:val="24"/>
          <w:szCs w:val="24"/>
          <w:rtl/>
        </w:rPr>
        <w:t xml:space="preserve"> </w:t>
      </w:r>
      <w:r>
        <w:rPr>
          <w:rFonts w:asciiTheme="majorBidi" w:hAnsiTheme="majorBidi" w:cs="Times New Roman" w:hint="cs"/>
          <w:sz w:val="28"/>
          <w:szCs w:val="28"/>
          <w:rtl/>
        </w:rPr>
        <w:t>''</w:t>
      </w:r>
      <w:r w:rsidRPr="00CC6A7E">
        <w:rPr>
          <w:rFonts w:asciiTheme="majorBidi" w:hAnsiTheme="majorBidi" w:cs="Times New Roman"/>
          <w:sz w:val="28"/>
          <w:szCs w:val="28"/>
          <w:rtl/>
        </w:rPr>
        <w:t xml:space="preserve">אל תנהוג קלות ראש בעצמך ותרבה כל היום עונות וחטאות ותלך לבהמ"ק להקריב שם קרבן "פן ישבעך" הקדוש ברוך הוא "ושנאך" כי הוא שונא הקרבנות ההם, כי על זה נאמר: (משלי כא, כז) "זבח רשעים תועבה", כי הרשע בעת שיביא קרבנו כונתו חוזר על החטא ולכך הוא תועבה כי הקדוש ברוך הוא יתעב אותו וישנאנו, אבל בעולות ושלמים על זה אמר דוד: (תהלים סו, יג) "אבא ביתך בעולות", </w:t>
      </w:r>
      <w:r w:rsidRPr="00CC6A7E">
        <w:rPr>
          <w:rFonts w:asciiTheme="majorBidi" w:hAnsiTheme="majorBidi" w:cs="Times New Roman"/>
          <w:sz w:val="28"/>
          <w:szCs w:val="28"/>
          <w:u w:val="single"/>
          <w:rtl/>
        </w:rPr>
        <w:t>כי העולה אינה באה על חטא המעשה רק על חטא המחשבה וההרהור שאין אדם נצול ממנה</w:t>
      </w:r>
      <w:r w:rsidRPr="00CC6A7E">
        <w:rPr>
          <w:rFonts w:asciiTheme="majorBidi" w:hAnsiTheme="majorBidi" w:cs="Times New Roman"/>
          <w:sz w:val="28"/>
          <w:szCs w:val="28"/>
          <w:rtl/>
        </w:rPr>
        <w:t>, ומן הידוע כי ההרהור מצוי הוא בלילה יותר ממה שהוא מצוי ביום ועל כן קבעה תורה זמנה של עולה בלילה כדי שתהיה הכפרה בזמן העברה</w:t>
      </w:r>
      <w:r>
        <w:rPr>
          <w:rFonts w:asciiTheme="majorBidi" w:hAnsiTheme="majorBidi" w:cs="Times New Roman" w:hint="cs"/>
          <w:sz w:val="28"/>
          <w:szCs w:val="28"/>
          <w:rtl/>
        </w:rPr>
        <w:t>''</w:t>
      </w:r>
      <w:r w:rsidRPr="00CC6A7E">
        <w:rPr>
          <w:rFonts w:asciiTheme="majorBidi" w:hAnsiTheme="majorBidi" w:cs="Times New Roman"/>
          <w:sz w:val="28"/>
          <w:szCs w:val="28"/>
          <w:rtl/>
        </w:rPr>
        <w:t>.</w:t>
      </w:r>
    </w:p>
    <w:p w14:paraId="5CC81B98" w14:textId="77777777" w:rsidR="00836107" w:rsidRPr="00CC6A7E" w:rsidRDefault="00836107" w:rsidP="00750FF7">
      <w:pPr>
        <w:bidi/>
        <w:jc w:val="both"/>
        <w:rPr>
          <w:rFonts w:asciiTheme="majorBidi" w:hAnsiTheme="majorBidi" w:cstheme="majorBidi"/>
          <w:sz w:val="28"/>
          <w:szCs w:val="28"/>
          <w:rtl/>
        </w:rPr>
      </w:pPr>
    </w:p>
    <w:p w14:paraId="5C4059A9" w14:textId="03D76CFD" w:rsidR="00750FF7" w:rsidRPr="00CC6A7E" w:rsidRDefault="00836107" w:rsidP="00836107">
      <w:pPr>
        <w:bidi/>
        <w:jc w:val="both"/>
        <w:rPr>
          <w:rFonts w:asciiTheme="majorBidi" w:hAnsiTheme="majorBidi" w:cstheme="majorBidi"/>
          <w:sz w:val="36"/>
          <w:szCs w:val="36"/>
          <w:u w:val="single"/>
          <w:rtl/>
        </w:rPr>
      </w:pPr>
      <w:r w:rsidRPr="00CC6A7E">
        <w:rPr>
          <w:rFonts w:asciiTheme="majorBidi" w:hAnsiTheme="majorBidi" w:cstheme="majorBidi"/>
          <w:sz w:val="36"/>
          <w:szCs w:val="36"/>
          <w:u w:val="single"/>
          <w:rtl/>
        </w:rPr>
        <w:t>מי שלא נשא אשה לפני כ' לא ניצול מהרהורי עבירה אף לאחר הנישואין</w:t>
      </w:r>
    </w:p>
    <w:p w14:paraId="7C1BEF9A" w14:textId="743A582A" w:rsidR="00750FF7" w:rsidRPr="00CC6A7E" w:rsidRDefault="00E22DDE" w:rsidP="00E22DDE">
      <w:pPr>
        <w:bidi/>
        <w:jc w:val="both"/>
        <w:rPr>
          <w:rFonts w:asciiTheme="majorBidi" w:hAnsiTheme="majorBidi" w:cstheme="majorBidi"/>
          <w:sz w:val="28"/>
          <w:szCs w:val="28"/>
          <w:rtl/>
        </w:rPr>
      </w:pPr>
      <w:r w:rsidRPr="00CC6A7E">
        <w:rPr>
          <w:rFonts w:asciiTheme="majorBidi" w:hAnsiTheme="majorBidi" w:cstheme="majorBidi"/>
          <w:sz w:val="28"/>
          <w:szCs w:val="28"/>
          <w:rtl/>
        </w:rPr>
        <w:t xml:space="preserve">עי' </w:t>
      </w:r>
      <w:r w:rsidRPr="00CC6A7E">
        <w:rPr>
          <w:rFonts w:asciiTheme="majorBidi" w:hAnsiTheme="majorBidi" w:cstheme="majorBidi"/>
          <w:b/>
          <w:bCs/>
          <w:sz w:val="28"/>
          <w:szCs w:val="28"/>
          <w:rtl/>
        </w:rPr>
        <w:t>קידושין</w:t>
      </w:r>
      <w:r w:rsidRPr="00CC6A7E">
        <w:rPr>
          <w:rFonts w:asciiTheme="majorBidi" w:hAnsiTheme="majorBidi" w:cstheme="majorBidi"/>
          <w:sz w:val="28"/>
          <w:szCs w:val="28"/>
          <w:rtl/>
        </w:rPr>
        <w:t xml:space="preserve"> </w:t>
      </w:r>
      <w:r w:rsidRPr="00CC6A7E">
        <w:rPr>
          <w:rFonts w:asciiTheme="majorBidi" w:hAnsiTheme="majorBidi" w:cstheme="majorBidi"/>
          <w:sz w:val="24"/>
          <w:szCs w:val="24"/>
          <w:rtl/>
        </w:rPr>
        <w:t xml:space="preserve">(דף כט:) </w:t>
      </w:r>
      <w:r w:rsidRPr="00CC6A7E">
        <w:rPr>
          <w:rFonts w:asciiTheme="majorBidi" w:hAnsiTheme="majorBidi" w:cstheme="majorBidi"/>
          <w:sz w:val="28"/>
          <w:szCs w:val="28"/>
          <w:rtl/>
        </w:rPr>
        <w:t>''</w:t>
      </w:r>
      <w:r w:rsidRPr="00CC6A7E">
        <w:rPr>
          <w:rFonts w:asciiTheme="majorBidi" w:hAnsiTheme="majorBidi" w:cstheme="majorBidi"/>
          <w:b/>
          <w:bCs/>
          <w:sz w:val="28"/>
          <w:szCs w:val="28"/>
          <w:rtl/>
        </w:rPr>
        <w:t>רב הונא</w:t>
      </w:r>
      <w:r w:rsidRPr="00CC6A7E">
        <w:rPr>
          <w:rFonts w:asciiTheme="majorBidi" w:hAnsiTheme="majorBidi" w:cstheme="majorBidi"/>
          <w:sz w:val="28"/>
          <w:szCs w:val="28"/>
          <w:rtl/>
        </w:rPr>
        <w:t xml:space="preserve"> לטעמיה דאמר בן עשרים שנה ולא נשא אשה כל ימיו בעבירה בעבירה סלקא דעתך אלא אימא כל ימיו בהרהור עבירה''.</w:t>
      </w:r>
    </w:p>
    <w:p w14:paraId="411E7828" w14:textId="4E1F082E" w:rsidR="00E22DDE" w:rsidRPr="00CC6A7E" w:rsidRDefault="00E22DDE" w:rsidP="00E22DDE">
      <w:pPr>
        <w:bidi/>
        <w:jc w:val="both"/>
        <w:rPr>
          <w:rFonts w:asciiTheme="majorBidi" w:hAnsiTheme="majorBidi" w:cstheme="majorBidi"/>
          <w:sz w:val="28"/>
          <w:szCs w:val="28"/>
          <w:rtl/>
        </w:rPr>
      </w:pPr>
      <w:r w:rsidRPr="00CC6A7E">
        <w:rPr>
          <w:rFonts w:asciiTheme="majorBidi" w:hAnsiTheme="majorBidi" w:cstheme="majorBidi"/>
          <w:sz w:val="28"/>
          <w:szCs w:val="28"/>
          <w:rtl/>
        </w:rPr>
        <w:t xml:space="preserve">וכותב </w:t>
      </w:r>
      <w:r w:rsidRPr="00CC6A7E">
        <w:rPr>
          <w:rFonts w:asciiTheme="majorBidi" w:hAnsiTheme="majorBidi" w:cstheme="majorBidi"/>
          <w:b/>
          <w:bCs/>
          <w:sz w:val="28"/>
          <w:szCs w:val="28"/>
          <w:rtl/>
        </w:rPr>
        <w:t>המאירי</w:t>
      </w:r>
      <w:r w:rsidRPr="00CC6A7E">
        <w:rPr>
          <w:rFonts w:asciiTheme="majorBidi" w:hAnsiTheme="majorBidi" w:cstheme="majorBidi"/>
          <w:sz w:val="28"/>
          <w:szCs w:val="28"/>
          <w:rtl/>
        </w:rPr>
        <w:t xml:space="preserve"> ''לעולם ישא אדם אשה בבחרותו כדי שלא יתמיד גדולו בהרהורין רעים ומחשבות נכריות שמאחר שהתמיד עצמו בהם, </w:t>
      </w:r>
      <w:r w:rsidRPr="00CC6A7E">
        <w:rPr>
          <w:rFonts w:asciiTheme="majorBidi" w:hAnsiTheme="majorBidi" w:cstheme="majorBidi"/>
          <w:sz w:val="28"/>
          <w:szCs w:val="28"/>
          <w:u w:val="single"/>
          <w:rtl/>
        </w:rPr>
        <w:t>לעולם אף לאחר שישא לא יהא בטוח בהם</w:t>
      </w:r>
      <w:r w:rsidRPr="00CC6A7E">
        <w:rPr>
          <w:rFonts w:asciiTheme="majorBidi" w:hAnsiTheme="majorBidi" w:cstheme="majorBidi"/>
          <w:sz w:val="28"/>
          <w:szCs w:val="28"/>
          <w:rtl/>
        </w:rPr>
        <w:t>''.</w:t>
      </w:r>
    </w:p>
    <w:p w14:paraId="70EA0EBD" w14:textId="7CA0FD10" w:rsidR="00E22DDE" w:rsidRPr="00CC6A7E" w:rsidRDefault="00E22DDE" w:rsidP="00E22DDE">
      <w:pPr>
        <w:bidi/>
        <w:jc w:val="both"/>
        <w:rPr>
          <w:rFonts w:asciiTheme="majorBidi" w:hAnsiTheme="majorBidi" w:cstheme="majorBidi"/>
          <w:sz w:val="28"/>
          <w:szCs w:val="28"/>
          <w:rtl/>
        </w:rPr>
      </w:pPr>
      <w:r w:rsidRPr="00CC6A7E">
        <w:rPr>
          <w:rFonts w:asciiTheme="majorBidi" w:hAnsiTheme="majorBidi" w:cstheme="majorBidi"/>
          <w:sz w:val="28"/>
          <w:szCs w:val="28"/>
          <w:rtl/>
        </w:rPr>
        <w:t>והפירוש שלו מדוייק במילים, כי אם אחרי החתונה אין לו כבר הרהורים, היה לגמ' לומר 'עד החתונה' ולא 'כל ימיו', אלא משמע שגם אחרי החתונה עדיין לא נמלט מהם.</w:t>
      </w:r>
    </w:p>
    <w:p w14:paraId="3FFCB843" w14:textId="77777777" w:rsidR="00836107" w:rsidRPr="00CC6A7E" w:rsidRDefault="00836107" w:rsidP="00836107">
      <w:pPr>
        <w:bidi/>
        <w:jc w:val="both"/>
        <w:rPr>
          <w:rFonts w:asciiTheme="majorBidi" w:hAnsiTheme="majorBidi" w:cstheme="majorBidi"/>
          <w:sz w:val="28"/>
          <w:szCs w:val="28"/>
          <w:rtl/>
        </w:rPr>
      </w:pPr>
    </w:p>
    <w:p w14:paraId="70F70896" w14:textId="27C4DA47" w:rsidR="00836107" w:rsidRPr="00CC6A7E" w:rsidRDefault="00836107" w:rsidP="00836107">
      <w:pPr>
        <w:bidi/>
        <w:jc w:val="both"/>
        <w:rPr>
          <w:rFonts w:asciiTheme="majorBidi" w:hAnsiTheme="majorBidi" w:cstheme="majorBidi"/>
          <w:sz w:val="36"/>
          <w:szCs w:val="36"/>
          <w:u w:val="single"/>
          <w:rtl/>
        </w:rPr>
      </w:pPr>
      <w:r w:rsidRPr="00CC6A7E">
        <w:rPr>
          <w:rFonts w:asciiTheme="majorBidi" w:hAnsiTheme="majorBidi" w:cstheme="majorBidi"/>
          <w:sz w:val="36"/>
          <w:szCs w:val="36"/>
          <w:u w:val="single"/>
          <w:rtl/>
        </w:rPr>
        <w:t>האם הם מכחישים את הגוף</w:t>
      </w:r>
    </w:p>
    <w:p w14:paraId="5A33621F" w14:textId="77777777" w:rsidR="00836107" w:rsidRPr="00CC6A7E" w:rsidRDefault="00836107" w:rsidP="00836107">
      <w:pPr>
        <w:bidi/>
        <w:jc w:val="both"/>
        <w:rPr>
          <w:rFonts w:asciiTheme="majorBidi" w:hAnsiTheme="majorBidi" w:cstheme="majorBidi"/>
          <w:sz w:val="28"/>
          <w:szCs w:val="28"/>
          <w:rtl/>
        </w:rPr>
      </w:pPr>
      <w:r w:rsidRPr="00CC6A7E">
        <w:rPr>
          <w:rFonts w:asciiTheme="majorBidi" w:hAnsiTheme="majorBidi" w:cstheme="majorBidi"/>
          <w:sz w:val="28"/>
          <w:szCs w:val="28"/>
          <w:rtl/>
        </w:rPr>
        <w:t xml:space="preserve">כותב </w:t>
      </w:r>
      <w:r w:rsidRPr="00CC6A7E">
        <w:rPr>
          <w:rFonts w:asciiTheme="majorBidi" w:hAnsiTheme="majorBidi" w:cstheme="majorBidi"/>
          <w:b/>
          <w:bCs/>
          <w:sz w:val="28"/>
          <w:szCs w:val="28"/>
          <w:rtl/>
        </w:rPr>
        <w:t>המהר''ל</w:t>
      </w:r>
      <w:r w:rsidRPr="00CC6A7E">
        <w:rPr>
          <w:rFonts w:asciiTheme="majorBidi" w:hAnsiTheme="majorBidi" w:cstheme="majorBidi"/>
          <w:sz w:val="28"/>
          <w:szCs w:val="28"/>
          <w:rtl/>
        </w:rPr>
        <w:t xml:space="preserve"> </w:t>
      </w:r>
      <w:r w:rsidRPr="00CC6A7E">
        <w:rPr>
          <w:rFonts w:asciiTheme="majorBidi" w:hAnsiTheme="majorBidi" w:cstheme="majorBidi"/>
          <w:sz w:val="24"/>
          <w:szCs w:val="24"/>
          <w:rtl/>
        </w:rPr>
        <w:t xml:space="preserve">(חידושי אגדות) </w:t>
      </w:r>
      <w:r w:rsidRPr="00CC6A7E">
        <w:rPr>
          <w:rFonts w:asciiTheme="majorBidi" w:hAnsiTheme="majorBidi" w:cstheme="majorBidi"/>
          <w:sz w:val="28"/>
          <w:szCs w:val="28"/>
          <w:rtl/>
        </w:rPr>
        <w:t xml:space="preserve">על </w:t>
      </w:r>
      <w:r w:rsidRPr="00CC6A7E">
        <w:rPr>
          <w:rFonts w:asciiTheme="majorBidi" w:hAnsiTheme="majorBidi" w:cstheme="majorBidi"/>
          <w:b/>
          <w:bCs/>
          <w:sz w:val="28"/>
          <w:szCs w:val="28"/>
          <w:rtl/>
        </w:rPr>
        <w:t>קידושין</w:t>
      </w:r>
      <w:r w:rsidRPr="00CC6A7E">
        <w:rPr>
          <w:rFonts w:asciiTheme="majorBidi" w:hAnsiTheme="majorBidi" w:cstheme="majorBidi"/>
          <w:sz w:val="28"/>
          <w:szCs w:val="28"/>
          <w:rtl/>
        </w:rPr>
        <w:t xml:space="preserve"> </w:t>
      </w:r>
      <w:r w:rsidRPr="00CC6A7E">
        <w:rPr>
          <w:rFonts w:asciiTheme="majorBidi" w:hAnsiTheme="majorBidi" w:cstheme="majorBidi"/>
          <w:sz w:val="24"/>
          <w:szCs w:val="24"/>
          <w:rtl/>
        </w:rPr>
        <w:t xml:space="preserve">(דף לט:) </w:t>
      </w:r>
      <w:r w:rsidRPr="00CC6A7E">
        <w:rPr>
          <w:rFonts w:asciiTheme="majorBidi" w:hAnsiTheme="majorBidi" w:cstheme="majorBidi"/>
          <w:sz w:val="28"/>
          <w:szCs w:val="28"/>
          <w:rtl/>
        </w:rPr>
        <w:t xml:space="preserve">מחשבה טובה הקדוש ברוך הוא מצרפה למעשה. מפני שהמחשבה טובה ראוי להביא לידי מעשה, והבא לטהר מסייעין, ואם כן נחשב מחשבה טובה </w:t>
      </w:r>
      <w:r w:rsidRPr="00CC6A7E">
        <w:rPr>
          <w:rFonts w:asciiTheme="majorBidi" w:hAnsiTheme="majorBidi" w:cstheme="majorBidi"/>
          <w:sz w:val="28"/>
          <w:szCs w:val="28"/>
          <w:rtl/>
        </w:rPr>
        <w:lastRenderedPageBreak/>
        <w:t xml:space="preserve">כאלו עשה מעשה, אבל מחשבה רעה אין מחשבה רעה מצרפה לידי מעשה, מפני כי הבא לטמא אין מסייעין לו ולכך אין נחשב המחשבה מעשה. ועוד כי הדבר ראוי להיות נעשה, ומאחר שראוי להיות נעשה נחשב המחשבה טובה כאלו נעשה, אבל מחשבה רעה אין ראוי להיות נעשה ולכך אין נחשב מעשה עד שנעשה. והא דאמרינן בפרק אמר להם הממונה (יומא כ"ט א') קשין הרהורי עבירה מעבירה עצמה, וכאן אמר שאין מצרף מחשבה למעשה, וכך משמע בפרק שלוח הקן (חולין קמ"ב א') דמקשה ודלמא מהרהר בע"ז דכתיב למען תפוש ישראל בלבם ואמר רב אחא בר יעקב אמחשבת ע"ז, ומשמע אבל מחשבת שאר עבירות אין הקדוש ברוך הוא מצרף מחשבה למעשה רק מחשבת ע"ז, והרי אמרו קשין הרהורי עבירה מעבירה עצמה. ואפשר דבשביל כך פירש </w:t>
      </w:r>
      <w:r w:rsidRPr="00CC6A7E">
        <w:rPr>
          <w:rFonts w:asciiTheme="majorBidi" w:hAnsiTheme="majorBidi" w:cstheme="majorBidi"/>
          <w:b/>
          <w:bCs/>
          <w:sz w:val="28"/>
          <w:szCs w:val="28"/>
          <w:rtl/>
        </w:rPr>
        <w:t>רש"י</w:t>
      </w:r>
      <w:r w:rsidRPr="00CC6A7E">
        <w:rPr>
          <w:rFonts w:asciiTheme="majorBidi" w:hAnsiTheme="majorBidi" w:cstheme="majorBidi"/>
          <w:sz w:val="28"/>
          <w:szCs w:val="28"/>
          <w:rtl/>
        </w:rPr>
        <w:t xml:space="preserve"> הרהורי עבירת תאות נשים קשים להכחיש את בשרו מגוף המעשה, ומשמע מדבריו דלהא מלתא הוי קשים. </w:t>
      </w:r>
      <w:r w:rsidRPr="00CC6A7E">
        <w:rPr>
          <w:rFonts w:asciiTheme="majorBidi" w:hAnsiTheme="majorBidi" w:cstheme="majorBidi"/>
          <w:sz w:val="28"/>
          <w:szCs w:val="28"/>
          <w:u w:val="single"/>
          <w:rtl/>
        </w:rPr>
        <w:t>אבל לא ידעתי איך מכחישין את בשרו יותר מגוף המעשה, (ה)[ו]גוף המעשה מה הכחשת בשרו יש בזה דאין בעילת זנות מכחיש הבשר</w:t>
      </w:r>
      <w:r w:rsidRPr="00CC6A7E">
        <w:rPr>
          <w:rFonts w:asciiTheme="majorBidi" w:hAnsiTheme="majorBidi" w:cstheme="majorBidi"/>
          <w:sz w:val="28"/>
          <w:szCs w:val="28"/>
          <w:rtl/>
        </w:rPr>
        <w:t>. אבל נראה פירושו, שקשה העבירה בעצמו וכמו שנתבאר שם. והא דאמרינן קשה הרהורי עבירה מעבירה עצמה, היינו כאשר מהרהר בזנות, וכאשר מהרהר בזנות גובר בו היצר ומגרה היצר הרע בעצמו, וכך אמרינן בפרק במה אשה (שבת ס"ד א') מידי עבירה יצאנו מידי הרהור לא יצאנו. והא דאמר אין הקדוש ברוך הוא מצרף מחשבה, שמחשב לעשות עבירה ואין בזה יצר הרע של זנות, אבל בע"ז אם מחשב לע"ז אף על גב שאין בו יצר הרע הקדוש ברוך הוא מצרף אותה למעשה ולא קשיא מידי.</w:t>
      </w:r>
    </w:p>
    <w:p w14:paraId="218A87BD" w14:textId="64913A48" w:rsidR="00836107" w:rsidRPr="00CC6A7E" w:rsidRDefault="00836107" w:rsidP="00836107">
      <w:pPr>
        <w:bidi/>
        <w:spacing w:line="256" w:lineRule="auto"/>
        <w:jc w:val="both"/>
        <w:rPr>
          <w:rFonts w:asciiTheme="majorBidi" w:eastAsia="Calibri" w:hAnsiTheme="majorBidi" w:cstheme="majorBidi"/>
          <w:sz w:val="28"/>
          <w:szCs w:val="28"/>
          <w:rtl/>
        </w:rPr>
      </w:pPr>
      <w:r w:rsidRPr="00CC6A7E">
        <w:rPr>
          <w:rFonts w:asciiTheme="majorBidi" w:eastAsia="Calibri" w:hAnsiTheme="majorBidi" w:cstheme="majorBidi"/>
          <w:sz w:val="28"/>
          <w:szCs w:val="28"/>
          <w:rtl/>
        </w:rPr>
        <w:t xml:space="preserve">כותב </w:t>
      </w:r>
      <w:r w:rsidRPr="00CC6A7E">
        <w:rPr>
          <w:rFonts w:asciiTheme="majorBidi" w:eastAsia="Calibri" w:hAnsiTheme="majorBidi" w:cstheme="majorBidi"/>
          <w:b/>
          <w:bCs/>
          <w:sz w:val="28"/>
          <w:szCs w:val="28"/>
          <w:rtl/>
        </w:rPr>
        <w:t>הרמב''ם</w:t>
      </w:r>
      <w:r w:rsidRPr="00CC6A7E">
        <w:rPr>
          <w:rFonts w:asciiTheme="majorBidi" w:eastAsia="Calibri" w:hAnsiTheme="majorBidi" w:cstheme="majorBidi"/>
          <w:sz w:val="28"/>
          <w:szCs w:val="28"/>
          <w:rtl/>
        </w:rPr>
        <w:t xml:space="preserve"> </w:t>
      </w:r>
      <w:r w:rsidRPr="00CC6A7E">
        <w:rPr>
          <w:rFonts w:asciiTheme="majorBidi" w:eastAsia="Calibri" w:hAnsiTheme="majorBidi" w:cstheme="majorBidi"/>
          <w:sz w:val="24"/>
          <w:szCs w:val="24"/>
          <w:rtl/>
        </w:rPr>
        <w:t>(הל' דעות פ''ד הי''ט) ''</w:t>
      </w:r>
      <w:r w:rsidRPr="00CC6A7E">
        <w:rPr>
          <w:rFonts w:asciiTheme="majorBidi" w:eastAsia="Calibri" w:hAnsiTheme="majorBidi" w:cstheme="majorBidi"/>
          <w:sz w:val="28"/>
          <w:szCs w:val="28"/>
          <w:u w:val="single"/>
          <w:rtl/>
        </w:rPr>
        <w:t>שִׁכְבַת זֶרַע הִיא כֹּחַ הַגּוּף וְחַיָּיו וּמְאוֹר הָעֵינַיִם וְכָל שֶׁתֵּצֵא בְּיוֹתֵר הַגּוּף כָּלֶה וְכֹחוֹ כָּלֶה וְחַיָּיו אוֹבְדִים. הוּא שֶׁאָמַר שְׁלֹמֹה בְּחָכְמָתוֹ 'אַל תִּתֵּן לַנָּשִׁים חֵילֶךָ'. כָּל הַשָּׁטוּף בִּבְעִילָה זִקְנָה קוֹפֶצֶת עָלָיו. וְכֹחוֹ תָּשֵׁשׁ.</w:t>
      </w:r>
      <w:r w:rsidRPr="00CC6A7E">
        <w:rPr>
          <w:rFonts w:asciiTheme="majorBidi" w:eastAsia="Calibri" w:hAnsiTheme="majorBidi" w:cstheme="majorBidi"/>
          <w:sz w:val="28"/>
          <w:szCs w:val="28"/>
          <w:rtl/>
        </w:rPr>
        <w:t xml:space="preserve"> וְעֵינָיו כֵּהוֹת. וְרֵיחַ רַע נוֹדֵף מִפִּיו וּמִשֶּׁחְיוֹ. וּשְׂעַר רֹאשׁוֹ וְגַבּוֹת עֵינָיו וְרִיסֵי עֵינָיו נוֹשְׁרוֹת. וּשְׂעַר זְקָנוֹ וְשֶׁחְיוֹ וּשְׂעַר רַגְלָיו רַבֶּה. שִׁנָּיו נוֹפְלוֹת. וְהַרְבֵּה כְּאֵבִים חוּץ מֵאֵלּוּ בָּאִים עָלָיו''.</w:t>
      </w:r>
    </w:p>
    <w:p w14:paraId="49A4A0DB" w14:textId="77777777" w:rsidR="00CD389A" w:rsidRPr="00CC6A7E" w:rsidRDefault="00CD389A" w:rsidP="00CD389A">
      <w:pPr>
        <w:bidi/>
        <w:spacing w:line="256" w:lineRule="auto"/>
        <w:jc w:val="both"/>
        <w:rPr>
          <w:rFonts w:asciiTheme="majorBidi" w:eastAsia="Calibri" w:hAnsiTheme="majorBidi" w:cstheme="majorBidi"/>
          <w:sz w:val="28"/>
          <w:szCs w:val="28"/>
          <w:rtl/>
        </w:rPr>
      </w:pPr>
    </w:p>
    <w:p w14:paraId="7DFB3F49" w14:textId="3A487997" w:rsidR="00CD389A" w:rsidRPr="00CC6A7E" w:rsidRDefault="00CD389A" w:rsidP="00CD389A">
      <w:pPr>
        <w:bidi/>
        <w:spacing w:line="256" w:lineRule="auto"/>
        <w:jc w:val="both"/>
        <w:rPr>
          <w:rFonts w:asciiTheme="majorBidi" w:eastAsia="Calibri" w:hAnsiTheme="majorBidi" w:cstheme="majorBidi"/>
          <w:sz w:val="36"/>
          <w:szCs w:val="36"/>
          <w:u w:val="single"/>
          <w:rtl/>
        </w:rPr>
      </w:pPr>
      <w:r w:rsidRPr="00CC6A7E">
        <w:rPr>
          <w:rFonts w:asciiTheme="majorBidi" w:eastAsia="Calibri" w:hAnsiTheme="majorBidi" w:cstheme="majorBidi"/>
          <w:sz w:val="36"/>
          <w:szCs w:val="36"/>
          <w:u w:val="single"/>
          <w:rtl/>
        </w:rPr>
        <w:t>הרהור כמעשה דמי</w:t>
      </w:r>
    </w:p>
    <w:p w14:paraId="44210B55" w14:textId="453F3389" w:rsidR="00CD389A" w:rsidRPr="00CC6A7E" w:rsidRDefault="00CD389A" w:rsidP="00CD389A">
      <w:pPr>
        <w:bidi/>
        <w:spacing w:line="256" w:lineRule="auto"/>
        <w:jc w:val="both"/>
        <w:rPr>
          <w:rFonts w:asciiTheme="majorBidi" w:eastAsia="Calibri" w:hAnsiTheme="majorBidi" w:cstheme="majorBidi"/>
          <w:sz w:val="28"/>
          <w:szCs w:val="28"/>
          <w:rtl/>
        </w:rPr>
      </w:pPr>
      <w:r w:rsidRPr="00CC6A7E">
        <w:rPr>
          <w:rFonts w:asciiTheme="majorBidi" w:eastAsia="Calibri" w:hAnsiTheme="majorBidi" w:cstheme="majorBidi"/>
          <w:sz w:val="28"/>
          <w:szCs w:val="28"/>
          <w:rtl/>
        </w:rPr>
        <w:t xml:space="preserve">כותב </w:t>
      </w:r>
      <w:r w:rsidRPr="00CC6A7E">
        <w:rPr>
          <w:rFonts w:asciiTheme="majorBidi" w:eastAsia="Calibri" w:hAnsiTheme="majorBidi" w:cstheme="majorBidi"/>
          <w:b/>
          <w:bCs/>
          <w:sz w:val="28"/>
          <w:szCs w:val="28"/>
          <w:rtl/>
        </w:rPr>
        <w:t>הרבינו בחיי</w:t>
      </w:r>
      <w:r w:rsidRPr="00CC6A7E">
        <w:rPr>
          <w:rFonts w:asciiTheme="majorBidi" w:eastAsia="Calibri" w:hAnsiTheme="majorBidi" w:cstheme="majorBidi"/>
          <w:sz w:val="28"/>
          <w:szCs w:val="28"/>
          <w:rtl/>
        </w:rPr>
        <w:t xml:space="preserve"> </w:t>
      </w:r>
      <w:r w:rsidRPr="00CC6A7E">
        <w:rPr>
          <w:rFonts w:asciiTheme="majorBidi" w:eastAsia="Calibri" w:hAnsiTheme="majorBidi" w:cstheme="majorBidi"/>
          <w:sz w:val="24"/>
          <w:szCs w:val="24"/>
          <w:rtl/>
        </w:rPr>
        <w:t xml:space="preserve">(הקדמה לפר' קדושים) </w:t>
      </w:r>
      <w:r w:rsidRPr="00CC6A7E">
        <w:rPr>
          <w:rFonts w:asciiTheme="majorBidi" w:eastAsia="Calibri" w:hAnsiTheme="majorBidi" w:cstheme="majorBidi"/>
          <w:sz w:val="28"/>
          <w:szCs w:val="28"/>
          <w:rtl/>
        </w:rPr>
        <w:t xml:space="preserve">''האחד במחשבתו, כי ימשך האדם אחר מחשבתו בהרהורים רעים ומחשבות רעות, וכבר גלה לנו שלמה ע"ה ולמד דעת את העם </w:t>
      </w:r>
      <w:r w:rsidRPr="00CC6A7E">
        <w:rPr>
          <w:rFonts w:asciiTheme="majorBidi" w:eastAsia="Calibri" w:hAnsiTheme="majorBidi" w:cstheme="majorBidi"/>
          <w:sz w:val="28"/>
          <w:szCs w:val="28"/>
          <w:u w:val="single"/>
          <w:rtl/>
        </w:rPr>
        <w:t>כי האדם הוא נענש על חטא המחשבה כאלו חטא בפועל</w:t>
      </w:r>
      <w:r w:rsidRPr="00CC6A7E">
        <w:rPr>
          <w:rFonts w:asciiTheme="majorBidi" w:eastAsia="Calibri" w:hAnsiTheme="majorBidi" w:cstheme="majorBidi"/>
          <w:sz w:val="28"/>
          <w:szCs w:val="28"/>
          <w:rtl/>
        </w:rPr>
        <w:t xml:space="preserve">, </w:t>
      </w:r>
      <w:bookmarkStart w:id="0" w:name="_Hlk152758143"/>
      <w:r w:rsidRPr="00CC6A7E">
        <w:rPr>
          <w:rFonts w:asciiTheme="majorBidi" w:eastAsia="Calibri" w:hAnsiTheme="majorBidi" w:cstheme="majorBidi"/>
          <w:sz w:val="28"/>
          <w:szCs w:val="28"/>
          <w:rtl/>
        </w:rPr>
        <w:t xml:space="preserve">והוא שאמר: </w:t>
      </w:r>
      <w:r w:rsidRPr="00CC6A7E">
        <w:rPr>
          <w:rFonts w:asciiTheme="majorBidi" w:eastAsia="Calibri" w:hAnsiTheme="majorBidi" w:cstheme="majorBidi"/>
          <w:sz w:val="24"/>
          <w:szCs w:val="24"/>
          <w:rtl/>
        </w:rPr>
        <w:t xml:space="preserve">(משלי טו, יג) </w:t>
      </w:r>
      <w:r w:rsidRPr="00CC6A7E">
        <w:rPr>
          <w:rFonts w:asciiTheme="majorBidi" w:eastAsia="Calibri" w:hAnsiTheme="majorBidi" w:cstheme="majorBidi"/>
          <w:sz w:val="28"/>
          <w:szCs w:val="28"/>
          <w:rtl/>
        </w:rPr>
        <w:t>"לב שמח ייטיב פנים", כי שמחת הלב היא אם במצוה אם בעברה הנה היא נכרת בגוף, לפי שהלב שורש הגוף, וליחות השרש מתגלה בענפים</w:t>
      </w:r>
      <w:bookmarkEnd w:id="0"/>
      <w:r w:rsidRPr="00CC6A7E">
        <w:rPr>
          <w:rFonts w:asciiTheme="majorBidi" w:eastAsia="Calibri" w:hAnsiTheme="majorBidi" w:cstheme="majorBidi"/>
          <w:sz w:val="28"/>
          <w:szCs w:val="28"/>
          <w:rtl/>
        </w:rPr>
        <w:t>, והרי זה כאלו חטא בפועל''.</w:t>
      </w:r>
    </w:p>
    <w:p w14:paraId="7AAB49C7" w14:textId="77777777" w:rsidR="00836107" w:rsidRPr="00CC6A7E" w:rsidRDefault="00836107" w:rsidP="00836107">
      <w:pPr>
        <w:bidi/>
        <w:jc w:val="both"/>
        <w:rPr>
          <w:rFonts w:asciiTheme="majorBidi" w:hAnsiTheme="majorBidi" w:cstheme="majorBidi"/>
          <w:sz w:val="28"/>
          <w:szCs w:val="28"/>
          <w:rtl/>
        </w:rPr>
      </w:pPr>
    </w:p>
    <w:p w14:paraId="21D121A4" w14:textId="77777777" w:rsidR="00836107" w:rsidRPr="00CC6A7E" w:rsidRDefault="00836107" w:rsidP="00836107">
      <w:pPr>
        <w:bidi/>
        <w:jc w:val="both"/>
        <w:rPr>
          <w:rFonts w:asciiTheme="majorBidi" w:hAnsiTheme="majorBidi" w:cstheme="majorBidi"/>
          <w:sz w:val="28"/>
          <w:szCs w:val="28"/>
          <w:rtl/>
        </w:rPr>
      </w:pPr>
    </w:p>
    <w:p w14:paraId="49B6A6E0" w14:textId="77777777" w:rsidR="00E22DDE" w:rsidRPr="00CC6A7E" w:rsidRDefault="00E22DDE" w:rsidP="00E22DDE">
      <w:pPr>
        <w:bidi/>
        <w:jc w:val="both"/>
        <w:rPr>
          <w:rFonts w:asciiTheme="majorBidi" w:hAnsiTheme="majorBidi" w:cstheme="majorBidi"/>
          <w:sz w:val="28"/>
          <w:szCs w:val="28"/>
          <w:rtl/>
        </w:rPr>
      </w:pPr>
    </w:p>
    <w:p w14:paraId="5C906D40" w14:textId="77777777" w:rsidR="006B0FD4" w:rsidRPr="00CC6A7E" w:rsidRDefault="006B0FD4" w:rsidP="006B0FD4">
      <w:pPr>
        <w:bidi/>
        <w:jc w:val="both"/>
        <w:rPr>
          <w:rFonts w:asciiTheme="majorBidi" w:hAnsiTheme="majorBidi" w:cstheme="majorBidi"/>
          <w:sz w:val="28"/>
          <w:szCs w:val="28"/>
          <w:rtl/>
        </w:rPr>
      </w:pPr>
    </w:p>
    <w:p w14:paraId="692F16C4" w14:textId="77777777" w:rsidR="006B0FD4" w:rsidRPr="00CC6A7E" w:rsidRDefault="006B0FD4" w:rsidP="006B0FD4">
      <w:pPr>
        <w:bidi/>
        <w:jc w:val="both"/>
        <w:rPr>
          <w:rFonts w:asciiTheme="majorBidi" w:hAnsiTheme="majorBidi" w:cstheme="majorBidi"/>
          <w:sz w:val="28"/>
          <w:szCs w:val="28"/>
          <w:rtl/>
        </w:rPr>
      </w:pPr>
    </w:p>
    <w:p w14:paraId="02DD5DFB" w14:textId="77777777" w:rsidR="006B0FD4" w:rsidRPr="00CC6A7E" w:rsidRDefault="006B0FD4" w:rsidP="006B0FD4">
      <w:pPr>
        <w:bidi/>
        <w:jc w:val="both"/>
        <w:rPr>
          <w:rFonts w:asciiTheme="majorBidi" w:hAnsiTheme="majorBidi" w:cstheme="majorBidi"/>
          <w:sz w:val="28"/>
          <w:szCs w:val="28"/>
          <w:rtl/>
        </w:rPr>
      </w:pPr>
    </w:p>
    <w:sectPr w:rsidR="006B0FD4" w:rsidRPr="00CC6A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80"/>
    <w:rsid w:val="004B7068"/>
    <w:rsid w:val="005A2F80"/>
    <w:rsid w:val="006B0FD4"/>
    <w:rsid w:val="00750FF7"/>
    <w:rsid w:val="00836107"/>
    <w:rsid w:val="00CC6A7E"/>
    <w:rsid w:val="00CD389A"/>
    <w:rsid w:val="00D16F90"/>
    <w:rsid w:val="00E22DD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163B"/>
  <w15:chartTrackingRefBased/>
  <w15:docId w15:val="{A767F0FC-EC46-41CE-9296-EA8F6C69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588</Words>
  <Characters>3238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2022-05-20T08:28:00Z</dcterms:created>
  <dcterms:modified xsi:type="dcterms:W3CDTF">2026-03-29T09:19:00Z</dcterms:modified>
</cp:coreProperties>
</file>