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29317" w14:textId="6D50A231" w:rsidR="001D2779" w:rsidRPr="00AF2ACA" w:rsidRDefault="009A1BEB" w:rsidP="009A1BEB">
      <w:pPr>
        <w:bidi/>
        <w:ind w:left="3540"/>
        <w:jc w:val="both"/>
        <w:rPr>
          <w:rFonts w:ascii="David" w:hAnsi="David" w:cs="David"/>
          <w:sz w:val="56"/>
          <w:szCs w:val="56"/>
          <w:u w:val="single"/>
          <w:rtl/>
        </w:rPr>
      </w:pPr>
      <w:r w:rsidRPr="00AF2ACA">
        <w:rPr>
          <w:rFonts w:ascii="David" w:hAnsi="David" w:cs="David"/>
          <w:sz w:val="56"/>
          <w:szCs w:val="56"/>
          <w:u w:val="single"/>
          <w:rtl/>
        </w:rPr>
        <w:t xml:space="preserve">הריון </w:t>
      </w:r>
    </w:p>
    <w:p w14:paraId="496B2CE8" w14:textId="2FA6AAE8" w:rsidR="009A1BEB" w:rsidRPr="00AF2ACA" w:rsidRDefault="009A1BEB" w:rsidP="009A1BEB">
      <w:pPr>
        <w:bidi/>
        <w:jc w:val="both"/>
        <w:rPr>
          <w:rFonts w:ascii="David" w:hAnsi="David" w:cs="David"/>
          <w:sz w:val="28"/>
          <w:szCs w:val="28"/>
          <w:rtl/>
        </w:rPr>
      </w:pPr>
    </w:p>
    <w:p w14:paraId="27F74BF7" w14:textId="552A19B9" w:rsidR="009A1BEB" w:rsidRPr="00AF2ACA" w:rsidRDefault="009A1BEB" w:rsidP="009A1BEB">
      <w:pPr>
        <w:bidi/>
        <w:jc w:val="both"/>
        <w:rPr>
          <w:rFonts w:ascii="David" w:hAnsi="David" w:cs="David"/>
          <w:sz w:val="28"/>
          <w:szCs w:val="28"/>
          <w:rtl/>
        </w:rPr>
      </w:pPr>
    </w:p>
    <w:p w14:paraId="18A6C00A" w14:textId="5FF455A3" w:rsidR="00AF2ACA" w:rsidRDefault="00AF2ACA" w:rsidP="00AF2ACA">
      <w:pPr>
        <w:bidi/>
        <w:jc w:val="both"/>
        <w:rPr>
          <w:rFonts w:ascii="David" w:hAnsi="David" w:cs="David"/>
          <w:sz w:val="28"/>
          <w:szCs w:val="28"/>
        </w:rPr>
      </w:pPr>
    </w:p>
    <w:p w14:paraId="3B864833" w14:textId="1D671F0F" w:rsidR="00AF2ACA" w:rsidRPr="00AF2ACA" w:rsidRDefault="00AF2ACA" w:rsidP="00AF2ACA">
      <w:pPr>
        <w:bidi/>
        <w:jc w:val="both"/>
        <w:rPr>
          <w:rFonts w:ascii="David" w:hAnsi="David" w:cs="David"/>
          <w:sz w:val="36"/>
          <w:szCs w:val="36"/>
          <w:u w:val="single"/>
          <w:rtl/>
        </w:rPr>
      </w:pPr>
      <w:r w:rsidRPr="00AF2ACA">
        <w:rPr>
          <w:rFonts w:ascii="David" w:hAnsi="David" w:cs="David" w:hint="cs"/>
          <w:sz w:val="36"/>
          <w:szCs w:val="36"/>
          <w:u w:val="single"/>
          <w:rtl/>
        </w:rPr>
        <w:t>לפי הציור שמדמין בעת ההריון כך יוצא הולד</w:t>
      </w:r>
    </w:p>
    <w:p w14:paraId="4B29A3A0" w14:textId="6C4B1D0F" w:rsidR="009A1BEB" w:rsidRPr="00AF2ACA" w:rsidRDefault="009A1BEB" w:rsidP="00AF2ACA">
      <w:pPr>
        <w:bidi/>
        <w:jc w:val="both"/>
        <w:rPr>
          <w:rFonts w:ascii="David" w:hAnsi="David" w:cs="David"/>
          <w:sz w:val="28"/>
          <w:szCs w:val="28"/>
          <w:rtl/>
        </w:rPr>
      </w:pPr>
      <w:r w:rsidRPr="00AF2ACA">
        <w:rPr>
          <w:rFonts w:ascii="David" w:hAnsi="David" w:cs="David"/>
          <w:sz w:val="28"/>
          <w:szCs w:val="28"/>
          <w:rtl/>
        </w:rPr>
        <w:t xml:space="preserve">עי' </w:t>
      </w:r>
      <w:r w:rsidRPr="00AF2ACA">
        <w:rPr>
          <w:rFonts w:ascii="David" w:hAnsi="David" w:cs="David"/>
          <w:b/>
          <w:bCs/>
          <w:sz w:val="28"/>
          <w:szCs w:val="28"/>
          <w:rtl/>
        </w:rPr>
        <w:t>ב''מ</w:t>
      </w:r>
      <w:r w:rsidRPr="00AF2ACA">
        <w:rPr>
          <w:rFonts w:ascii="David" w:hAnsi="David" w:cs="David"/>
          <w:sz w:val="28"/>
          <w:szCs w:val="28"/>
          <w:rtl/>
        </w:rPr>
        <w:t xml:space="preserve"> </w:t>
      </w:r>
      <w:r w:rsidRPr="00AF2ACA">
        <w:rPr>
          <w:rFonts w:ascii="David" w:hAnsi="David" w:cs="David"/>
          <w:sz w:val="24"/>
          <w:szCs w:val="24"/>
          <w:rtl/>
        </w:rPr>
        <w:t xml:space="preserve">(דף פד.) </w:t>
      </w:r>
      <w:r w:rsidRPr="00AF2ACA">
        <w:rPr>
          <w:rFonts w:ascii="David" w:hAnsi="David" w:cs="David"/>
          <w:sz w:val="28"/>
          <w:szCs w:val="28"/>
          <w:rtl/>
        </w:rPr>
        <w:t>''</w:t>
      </w:r>
      <w:r w:rsidRPr="00AF2ACA">
        <w:rPr>
          <w:rFonts w:ascii="David" w:hAnsi="David" w:cs="David"/>
          <w:b/>
          <w:bCs/>
          <w:sz w:val="28"/>
          <w:szCs w:val="28"/>
          <w:rtl/>
        </w:rPr>
        <w:t>ר' יוחנן</w:t>
      </w:r>
      <w:r w:rsidRPr="00AF2ACA">
        <w:rPr>
          <w:rFonts w:ascii="David" w:hAnsi="David" w:cs="David"/>
          <w:sz w:val="28"/>
          <w:szCs w:val="28"/>
          <w:rtl/>
        </w:rPr>
        <w:t xml:space="preserve"> הוה אזיל ויתיב אשערי טבילה אמר כי סלקן בנות ישראל מטבילת מצוה לפגעו בי כי היכי דלהוו להו בני שפירי כוותי גמירי אורייתא כוותי''.</w:t>
      </w:r>
    </w:p>
    <w:p w14:paraId="7A89C321" w14:textId="181F4C42" w:rsidR="009A1BEB" w:rsidRDefault="009A1BEB" w:rsidP="009A1BEB">
      <w:pPr>
        <w:bidi/>
        <w:jc w:val="both"/>
        <w:rPr>
          <w:rFonts w:ascii="David" w:hAnsi="David" w:cs="David"/>
          <w:sz w:val="28"/>
          <w:szCs w:val="28"/>
          <w:rtl/>
        </w:rPr>
      </w:pPr>
      <w:r w:rsidRPr="00AF2ACA">
        <w:rPr>
          <w:rFonts w:ascii="David" w:hAnsi="David" w:cs="David"/>
          <w:b/>
          <w:bCs/>
          <w:sz w:val="28"/>
          <w:szCs w:val="28"/>
          <w:rtl/>
        </w:rPr>
        <w:t>והמהרש''א</w:t>
      </w:r>
      <w:r w:rsidRPr="00AF2ACA">
        <w:rPr>
          <w:rFonts w:ascii="David" w:hAnsi="David" w:cs="David"/>
          <w:sz w:val="28"/>
          <w:szCs w:val="28"/>
          <w:rtl/>
        </w:rPr>
        <w:t xml:space="preserve"> </w:t>
      </w:r>
      <w:r w:rsidRPr="00AF2ACA">
        <w:rPr>
          <w:rFonts w:ascii="David" w:hAnsi="David" w:cs="David"/>
          <w:sz w:val="24"/>
          <w:szCs w:val="24"/>
          <w:rtl/>
        </w:rPr>
        <w:t xml:space="preserve">(שם) </w:t>
      </w:r>
      <w:r w:rsidRPr="00AF2ACA">
        <w:rPr>
          <w:rFonts w:ascii="David" w:hAnsi="David" w:cs="David"/>
          <w:sz w:val="28"/>
          <w:szCs w:val="28"/>
          <w:rtl/>
        </w:rPr>
        <w:t xml:space="preserve">כתב ''ביאורו כענין המקלות אשר פצל יעקב </w:t>
      </w:r>
      <w:r w:rsidRPr="00AF2ACA">
        <w:rPr>
          <w:rFonts w:ascii="David" w:hAnsi="David" w:cs="David"/>
          <w:sz w:val="28"/>
          <w:szCs w:val="28"/>
          <w:u w:val="single"/>
          <w:rtl/>
        </w:rPr>
        <w:t>לפי שהטבע מוליד בהזדקקם לפי הציור בדמיונם בעת הריון</w:t>
      </w:r>
      <w:r w:rsidRPr="00AF2ACA">
        <w:rPr>
          <w:rFonts w:ascii="David" w:hAnsi="David" w:cs="David"/>
          <w:sz w:val="28"/>
          <w:szCs w:val="28"/>
          <w:rtl/>
        </w:rPr>
        <w:t xml:space="preserve"> כדאיתא במדרשות </w:t>
      </w:r>
      <w:r w:rsidRPr="00AF2ACA">
        <w:rPr>
          <w:rFonts w:ascii="David" w:hAnsi="David" w:cs="David"/>
          <w:b/>
          <w:bCs/>
          <w:sz w:val="28"/>
          <w:szCs w:val="28"/>
          <w:rtl/>
        </w:rPr>
        <w:t>ור' יוחנן</w:t>
      </w:r>
      <w:r w:rsidRPr="00AF2ACA">
        <w:rPr>
          <w:rFonts w:ascii="David" w:hAnsi="David" w:cs="David"/>
          <w:sz w:val="28"/>
          <w:szCs w:val="28"/>
          <w:rtl/>
        </w:rPr>
        <w:t xml:space="preserve"> אזיל לשיטתיה בפרק המפלת</w:t>
      </w:r>
      <w:r w:rsidRPr="00AF2ACA">
        <w:rPr>
          <w:rStyle w:val="Appelnotedebasdep"/>
          <w:rFonts w:ascii="David" w:hAnsi="David" w:cs="David"/>
          <w:sz w:val="28"/>
          <w:szCs w:val="28"/>
          <w:rtl/>
        </w:rPr>
        <w:footnoteReference w:id="1"/>
      </w:r>
      <w:r w:rsidRPr="00AF2ACA">
        <w:rPr>
          <w:rFonts w:ascii="David" w:hAnsi="David" w:cs="David"/>
          <w:sz w:val="28"/>
          <w:szCs w:val="28"/>
          <w:rtl/>
        </w:rPr>
        <w:t xml:space="preserve"> דאין אשה מתעברת אלא סמוך לטבילה וק"ל''.</w:t>
      </w:r>
    </w:p>
    <w:p w14:paraId="03BD303C" w14:textId="0BF02061" w:rsidR="00AF2ACA" w:rsidRDefault="00AF2ACA" w:rsidP="00AF2ACA">
      <w:pPr>
        <w:bidi/>
        <w:jc w:val="both"/>
        <w:rPr>
          <w:rFonts w:ascii="David" w:hAnsi="David" w:cs="David"/>
          <w:sz w:val="28"/>
          <w:szCs w:val="28"/>
          <w:rtl/>
        </w:rPr>
      </w:pPr>
    </w:p>
    <w:p w14:paraId="05EC7C8A" w14:textId="46329575" w:rsidR="00AF2ACA" w:rsidRPr="00AF2ACA" w:rsidRDefault="00AF2ACA" w:rsidP="00AF2ACA">
      <w:pPr>
        <w:bidi/>
        <w:jc w:val="both"/>
        <w:rPr>
          <w:rFonts w:ascii="David" w:hAnsi="David" w:cs="David"/>
          <w:sz w:val="36"/>
          <w:szCs w:val="36"/>
          <w:u w:val="single"/>
          <w:rtl/>
        </w:rPr>
      </w:pPr>
      <w:r w:rsidRPr="00AF2ACA">
        <w:rPr>
          <w:rFonts w:ascii="David" w:hAnsi="David" w:cs="David" w:hint="cs"/>
          <w:sz w:val="36"/>
          <w:szCs w:val="36"/>
          <w:u w:val="single"/>
          <w:rtl/>
        </w:rPr>
        <w:t>הכוונה שמכוון המזריע קובע סוג נפש הנולד</w:t>
      </w:r>
    </w:p>
    <w:p w14:paraId="1616CDA8" w14:textId="53247D68" w:rsidR="00AF2ACA" w:rsidRDefault="00AF2ACA" w:rsidP="00AF2ACA">
      <w:pPr>
        <w:bidi/>
        <w:jc w:val="both"/>
        <w:rPr>
          <w:rFonts w:ascii="David" w:hAnsi="David" w:cs="David"/>
          <w:sz w:val="28"/>
          <w:szCs w:val="28"/>
          <w:rtl/>
        </w:rPr>
      </w:pPr>
      <w:r w:rsidRPr="00AF2ACA">
        <w:rPr>
          <w:rFonts w:ascii="David" w:hAnsi="David" w:cs="David"/>
          <w:sz w:val="28"/>
          <w:szCs w:val="28"/>
          <w:rtl/>
        </w:rPr>
        <w:t xml:space="preserve">והנה בעת ההזרעה אמרו ז''ל (זוהר קדושים פ.) כי כפי הכוונה אשר יכוין המזריע ימשיך לזרע הנפש, אם יחשוב מחשבות רעות ומזוהמות ימשיך לטפה נפש טמאה ואם יחשוב בטהרה ימשיך נפש קדושה, וצא ולמד (ברכות י. ד.) מבניו של הצדיק המופלא חזקיה המלך עליו השלום אשר נשא בת נביא ולצד שחשבה האשה בעבדי מרודך בלאדן המשיכה נפש רעה לב' בניה (סנהדרין קד.). אם כן עיקר הלידה שהיא המשכת הנפש לעובר היא בשעת ההזרעה, וקודם לה מלפניה, כי אחר הוצאת הזרע כבר קדם כח החושב שממנו יתהוה הזרע, והוא מאמר הכתוב </w:t>
      </w:r>
      <w:r w:rsidRPr="00AF2ACA">
        <w:rPr>
          <w:rFonts w:ascii="David" w:hAnsi="David" w:cs="David"/>
          <w:b/>
          <w:bCs/>
          <w:sz w:val="28"/>
          <w:szCs w:val="28"/>
          <w:rtl/>
        </w:rPr>
        <w:t>כי תזריע וילדה</w:t>
      </w:r>
      <w:r w:rsidRPr="00AF2ACA">
        <w:rPr>
          <w:rFonts w:ascii="David" w:hAnsi="David" w:cs="David"/>
          <w:sz w:val="28"/>
          <w:szCs w:val="28"/>
          <w:rtl/>
        </w:rPr>
        <w:t xml:space="preserve"> מודיע הכתוב כי עיקר הלידה היא בשעת ההזרעה שכאשר תזריע כבר ילדה והיה מה שהיה אם נפש טהורה אם לא ואין תקוה להפך מה שכבר הוא, ומעתה מה שיתעצם האדם בבחינת הלידה הוא בשעת ההזרעה כי אז היא עיקר הלידה לבחינת הנפש שהוא העיקרית באדם, והויות הדבר והמצאתו הגם שהוא נעלם תקרא לידה. ומתוכיות דברינו אלה תשכיל אומרו (לד יב ה) ואת הנפש אשר עשו בחרן שהם הנפשות שעשו בזיווגם, הגם שלא היתה שרה יולדת, כל זיקה וזיקה היו מולידים נפשות, והגם שלא נבנה הגוף להם לא מפני זה יכחד האמת, ואומרו </w:t>
      </w:r>
      <w:r w:rsidRPr="00AF2ACA">
        <w:rPr>
          <w:rFonts w:ascii="David" w:hAnsi="David" w:cs="David"/>
          <w:b/>
          <w:bCs/>
          <w:sz w:val="28"/>
          <w:szCs w:val="28"/>
          <w:rtl/>
        </w:rPr>
        <w:t>זכר</w:t>
      </w:r>
      <w:r w:rsidRPr="00AF2ACA">
        <w:rPr>
          <w:rFonts w:ascii="David" w:hAnsi="David" w:cs="David"/>
          <w:sz w:val="28"/>
          <w:szCs w:val="28"/>
          <w:rtl/>
        </w:rPr>
        <w:t>, רמז כי גם יש כח במוציאים בשעת ההזרעה להוליד זכר כפי הכוונה אשר יכוין להמשיך נפש מעלמא דדכורא</w:t>
      </w:r>
    </w:p>
    <w:p w14:paraId="39EBD9BF" w14:textId="280D3B7F" w:rsidR="00AF2ACA" w:rsidRDefault="00AF2ACA" w:rsidP="00AF2ACA">
      <w:pPr>
        <w:bidi/>
        <w:jc w:val="both"/>
        <w:rPr>
          <w:rFonts w:ascii="David" w:hAnsi="David" w:cs="David"/>
          <w:sz w:val="28"/>
          <w:szCs w:val="28"/>
          <w:rtl/>
        </w:rPr>
      </w:pPr>
    </w:p>
    <w:p w14:paraId="08D82FCE" w14:textId="77777777" w:rsidR="00AF2ACA" w:rsidRPr="00AF2ACA" w:rsidRDefault="00AF2ACA" w:rsidP="00AF2ACA">
      <w:pPr>
        <w:bidi/>
        <w:spacing w:after="200" w:line="276" w:lineRule="auto"/>
        <w:jc w:val="both"/>
        <w:rPr>
          <w:rFonts w:ascii="David" w:eastAsia="Rockwell" w:hAnsi="David" w:cs="David"/>
          <w:sz w:val="20"/>
          <w:szCs w:val="20"/>
          <w:u w:val="single"/>
          <w:rtl/>
          <w:lang w:val="en-US"/>
        </w:rPr>
      </w:pPr>
      <w:r w:rsidRPr="00AF2ACA">
        <w:rPr>
          <w:rFonts w:ascii="David" w:eastAsia="Rockwell" w:hAnsi="David" w:cs="David"/>
          <w:sz w:val="36"/>
          <w:szCs w:val="36"/>
          <w:u w:val="single"/>
          <w:rtl/>
          <w:lang w:val="en-US"/>
        </w:rPr>
        <w:t>באיזה גיל אשה ראויה לילד</w:t>
      </w:r>
    </w:p>
    <w:p w14:paraId="4927CDA5" w14:textId="77777777" w:rsidR="00AF2ACA" w:rsidRPr="00AF2ACA" w:rsidRDefault="00AF2ACA" w:rsidP="00AF2ACA">
      <w:pPr>
        <w:bidi/>
        <w:spacing w:after="200" w:line="276" w:lineRule="auto"/>
        <w:jc w:val="both"/>
        <w:rPr>
          <w:rFonts w:ascii="David" w:eastAsia="Rockwell" w:hAnsi="David" w:cs="David"/>
          <w:sz w:val="28"/>
          <w:szCs w:val="28"/>
          <w:rtl/>
          <w:lang w:val="en-US"/>
        </w:rPr>
      </w:pPr>
      <w:r w:rsidRPr="00AF2ACA">
        <w:rPr>
          <w:rFonts w:ascii="David" w:eastAsia="Rockwell" w:hAnsi="David" w:cs="David"/>
          <w:sz w:val="28"/>
          <w:szCs w:val="28"/>
          <w:rtl/>
          <w:lang w:val="en-US"/>
        </w:rPr>
        <w:t xml:space="preserve">_ עי' </w:t>
      </w:r>
      <w:r w:rsidRPr="00AF2ACA">
        <w:rPr>
          <w:rFonts w:ascii="David" w:eastAsia="Rockwell" w:hAnsi="David" w:cs="David"/>
          <w:b/>
          <w:bCs/>
          <w:sz w:val="28"/>
          <w:szCs w:val="28"/>
          <w:rtl/>
          <w:lang w:val="en-US"/>
        </w:rPr>
        <w:t xml:space="preserve">סנהדרין </w:t>
      </w:r>
      <w:r w:rsidRPr="00AF2ACA">
        <w:rPr>
          <w:rFonts w:ascii="David" w:eastAsia="Rockwell" w:hAnsi="David" w:cs="David"/>
          <w:sz w:val="24"/>
          <w:szCs w:val="24"/>
          <w:rtl/>
          <w:lang w:val="en-US"/>
        </w:rPr>
        <w:t>(דף סט:)</w:t>
      </w:r>
    </w:p>
    <w:p w14:paraId="17091F84" w14:textId="77777777" w:rsidR="00AF2ACA" w:rsidRDefault="00AF2ACA" w:rsidP="00AF2ACA">
      <w:pPr>
        <w:bidi/>
        <w:spacing w:after="200" w:line="276" w:lineRule="auto"/>
        <w:jc w:val="both"/>
        <w:rPr>
          <w:rFonts w:ascii="David" w:eastAsia="Rockwell" w:hAnsi="David" w:cs="David"/>
          <w:sz w:val="24"/>
          <w:szCs w:val="24"/>
          <w:rtl/>
          <w:lang w:val="en-US"/>
        </w:rPr>
      </w:pPr>
      <w:r w:rsidRPr="00AF2ACA">
        <w:rPr>
          <w:rFonts w:ascii="David" w:eastAsia="Rockwell" w:hAnsi="David" w:cs="David"/>
          <w:sz w:val="28"/>
          <w:szCs w:val="28"/>
          <w:rtl/>
          <w:lang w:val="en-US"/>
        </w:rPr>
        <w:t xml:space="preserve"> _ ועי' </w:t>
      </w:r>
      <w:r w:rsidRPr="00AF2ACA">
        <w:rPr>
          <w:rFonts w:ascii="David" w:eastAsia="Rockwell" w:hAnsi="David" w:cs="David"/>
          <w:b/>
          <w:bCs/>
          <w:sz w:val="28"/>
          <w:szCs w:val="28"/>
          <w:rtl/>
          <w:lang w:val="en-US"/>
        </w:rPr>
        <w:t xml:space="preserve">רש''י </w:t>
      </w:r>
      <w:r w:rsidRPr="00AF2ACA">
        <w:rPr>
          <w:rFonts w:ascii="David" w:eastAsia="Rockwell" w:hAnsi="David" w:cs="David"/>
          <w:sz w:val="24"/>
          <w:szCs w:val="24"/>
          <w:rtl/>
          <w:lang w:val="en-US"/>
        </w:rPr>
        <w:t xml:space="preserve">(ד''ה בן ששים) </w:t>
      </w:r>
      <w:r w:rsidRPr="00AF2ACA">
        <w:rPr>
          <w:rFonts w:ascii="David" w:eastAsia="Rockwell" w:hAnsi="David" w:cs="David"/>
          <w:sz w:val="28"/>
          <w:szCs w:val="28"/>
          <w:rtl/>
          <w:lang w:val="en-US"/>
        </w:rPr>
        <w:t xml:space="preserve">פרשת </w:t>
      </w:r>
      <w:r w:rsidRPr="00AF2ACA">
        <w:rPr>
          <w:rFonts w:ascii="David" w:eastAsia="Rockwell" w:hAnsi="David" w:cs="David"/>
          <w:b/>
          <w:bCs/>
          <w:sz w:val="28"/>
          <w:szCs w:val="28"/>
          <w:rtl/>
          <w:lang w:val="en-US"/>
        </w:rPr>
        <w:t xml:space="preserve">תולדות </w:t>
      </w:r>
      <w:r w:rsidRPr="00AF2ACA">
        <w:rPr>
          <w:rFonts w:ascii="David" w:eastAsia="Rockwell" w:hAnsi="David" w:cs="David"/>
          <w:sz w:val="24"/>
          <w:szCs w:val="24"/>
          <w:rtl/>
          <w:lang w:val="en-US"/>
        </w:rPr>
        <w:t>(כה,כו).</w:t>
      </w:r>
    </w:p>
    <w:p w14:paraId="64AEA1EA" w14:textId="77777777" w:rsidR="000F3244" w:rsidRDefault="000F3244" w:rsidP="000F3244">
      <w:pPr>
        <w:bidi/>
        <w:spacing w:after="200" w:line="276" w:lineRule="auto"/>
        <w:jc w:val="both"/>
        <w:rPr>
          <w:rFonts w:ascii="David" w:eastAsia="Rockwell" w:hAnsi="David" w:cs="David"/>
          <w:sz w:val="24"/>
          <w:szCs w:val="24"/>
          <w:rtl/>
          <w:lang w:val="en-US"/>
        </w:rPr>
      </w:pPr>
    </w:p>
    <w:p w14:paraId="1A6CEDB2" w14:textId="77777777" w:rsidR="000F3244" w:rsidRPr="00B97D1E" w:rsidRDefault="000F3244" w:rsidP="000F3244">
      <w:pPr>
        <w:bidi/>
        <w:jc w:val="both"/>
        <w:rPr>
          <w:rFonts w:ascii="David" w:hAnsi="David" w:cs="David"/>
          <w:sz w:val="36"/>
          <w:szCs w:val="36"/>
          <w:u w:val="single"/>
          <w:rtl/>
        </w:rPr>
      </w:pPr>
      <w:r w:rsidRPr="00B97D1E">
        <w:rPr>
          <w:rFonts w:ascii="David" w:hAnsi="David" w:cs="David" w:hint="cs"/>
          <w:sz w:val="36"/>
          <w:szCs w:val="36"/>
          <w:u w:val="single"/>
          <w:rtl/>
        </w:rPr>
        <w:t>כל אשה שדמיה מרובים בניה מרובים</w:t>
      </w:r>
    </w:p>
    <w:p w14:paraId="5FE77F5B" w14:textId="77777777" w:rsidR="000F3244" w:rsidRPr="00B97D1E" w:rsidRDefault="000F3244" w:rsidP="000F3244">
      <w:pPr>
        <w:bidi/>
        <w:jc w:val="both"/>
        <w:rPr>
          <w:rFonts w:ascii="David" w:hAnsi="David" w:cs="David"/>
          <w:sz w:val="28"/>
          <w:szCs w:val="28"/>
          <w:rtl/>
        </w:rPr>
      </w:pPr>
      <w:r w:rsidRPr="00B97D1E">
        <w:rPr>
          <w:rFonts w:ascii="David" w:hAnsi="David" w:cs="David"/>
          <w:sz w:val="28"/>
          <w:szCs w:val="28"/>
          <w:rtl/>
        </w:rPr>
        <w:lastRenderedPageBreak/>
        <w:t xml:space="preserve">עי' </w:t>
      </w:r>
      <w:r w:rsidRPr="00B97D1E">
        <w:rPr>
          <w:rFonts w:ascii="David" w:hAnsi="David" w:cs="David"/>
          <w:b/>
          <w:bCs/>
          <w:sz w:val="28"/>
          <w:szCs w:val="28"/>
          <w:rtl/>
        </w:rPr>
        <w:t>בכתובות</w:t>
      </w:r>
      <w:r w:rsidRPr="00B97D1E">
        <w:rPr>
          <w:rFonts w:ascii="David" w:hAnsi="David" w:cs="David"/>
          <w:sz w:val="28"/>
          <w:szCs w:val="28"/>
          <w:rtl/>
        </w:rPr>
        <w:t xml:space="preserve"> </w:t>
      </w:r>
      <w:r w:rsidRPr="00B97D1E">
        <w:rPr>
          <w:rFonts w:ascii="David" w:hAnsi="David" w:cs="David"/>
          <w:sz w:val="24"/>
          <w:szCs w:val="24"/>
          <w:rtl/>
        </w:rPr>
        <w:t xml:space="preserve">(דף י:) </w:t>
      </w:r>
      <w:r w:rsidRPr="00B97D1E">
        <w:rPr>
          <w:rFonts w:ascii="David" w:hAnsi="David" w:cs="David"/>
          <w:sz w:val="28"/>
          <w:szCs w:val="28"/>
          <w:rtl/>
        </w:rPr>
        <w:t xml:space="preserve">''דתני </w:t>
      </w:r>
      <w:r w:rsidRPr="00B97D1E">
        <w:rPr>
          <w:rFonts w:ascii="David" w:hAnsi="David" w:cs="David"/>
          <w:b/>
          <w:bCs/>
          <w:sz w:val="28"/>
          <w:szCs w:val="28"/>
          <w:rtl/>
        </w:rPr>
        <w:t>רבי חייא</w:t>
      </w:r>
      <w:r w:rsidRPr="00B97D1E">
        <w:rPr>
          <w:rFonts w:ascii="David" w:hAnsi="David" w:cs="David"/>
          <w:sz w:val="28"/>
          <w:szCs w:val="28"/>
          <w:rtl/>
        </w:rPr>
        <w:t xml:space="preserve"> כשם שהשאור יפה לעיסה כך דמים יפים לאשה ותנא משום </w:t>
      </w:r>
      <w:r w:rsidRPr="00B97D1E">
        <w:rPr>
          <w:rFonts w:ascii="David" w:hAnsi="David" w:cs="David"/>
          <w:b/>
          <w:bCs/>
          <w:sz w:val="28"/>
          <w:szCs w:val="28"/>
          <w:rtl/>
        </w:rPr>
        <w:t>רבי מאיר</w:t>
      </w:r>
      <w:r w:rsidRPr="00B97D1E">
        <w:rPr>
          <w:rFonts w:ascii="David" w:hAnsi="David" w:cs="David"/>
          <w:sz w:val="28"/>
          <w:szCs w:val="28"/>
          <w:rtl/>
        </w:rPr>
        <w:t xml:space="preserve"> כל אשה שדמיה מרובין בניה מרובים''.</w:t>
      </w:r>
    </w:p>
    <w:p w14:paraId="4F0DC104" w14:textId="77777777" w:rsidR="000F3244" w:rsidRPr="00B97D1E" w:rsidRDefault="000F3244" w:rsidP="000F3244">
      <w:pPr>
        <w:bidi/>
        <w:jc w:val="both"/>
        <w:rPr>
          <w:rFonts w:ascii="David" w:hAnsi="David" w:cs="David"/>
          <w:sz w:val="28"/>
          <w:szCs w:val="28"/>
          <w:rtl/>
        </w:rPr>
      </w:pPr>
      <w:r w:rsidRPr="00B97D1E">
        <w:rPr>
          <w:rFonts w:ascii="David" w:hAnsi="David" w:cs="David"/>
          <w:b/>
          <w:bCs/>
          <w:sz w:val="28"/>
          <w:szCs w:val="28"/>
          <w:rtl/>
        </w:rPr>
        <w:t>ופרש''י</w:t>
      </w:r>
      <w:r w:rsidRPr="00B97D1E">
        <w:rPr>
          <w:rFonts w:ascii="David" w:hAnsi="David" w:cs="David"/>
          <w:sz w:val="28"/>
          <w:szCs w:val="28"/>
          <w:rtl/>
        </w:rPr>
        <w:t xml:space="preserve"> שם ''</w:t>
      </w:r>
      <w:r w:rsidRPr="00B97D1E">
        <w:rPr>
          <w:rFonts w:ascii="David" w:hAnsi="David" w:cs="David"/>
          <w:b/>
          <w:bCs/>
          <w:sz w:val="28"/>
          <w:szCs w:val="28"/>
          <w:rtl/>
        </w:rPr>
        <w:t>יפין לאשה</w:t>
      </w:r>
      <w:r w:rsidRPr="00B97D1E">
        <w:rPr>
          <w:rFonts w:ascii="David" w:hAnsi="David" w:cs="David"/>
          <w:sz w:val="28"/>
          <w:szCs w:val="28"/>
          <w:rtl/>
        </w:rPr>
        <w:t>. למהר לה הריון''.</w:t>
      </w:r>
    </w:p>
    <w:p w14:paraId="36470816" w14:textId="77777777" w:rsidR="000F3244" w:rsidRPr="00AF2ACA" w:rsidRDefault="000F3244" w:rsidP="000F3244">
      <w:pPr>
        <w:bidi/>
        <w:spacing w:after="200" w:line="276" w:lineRule="auto"/>
        <w:jc w:val="both"/>
        <w:rPr>
          <w:rFonts w:ascii="David" w:eastAsia="Rockwell" w:hAnsi="David" w:cs="David"/>
          <w:sz w:val="28"/>
          <w:szCs w:val="28"/>
          <w:rtl/>
          <w:lang w:val="en-US"/>
        </w:rPr>
      </w:pPr>
    </w:p>
    <w:p w14:paraId="1EB03913" w14:textId="77777777" w:rsidR="00AF2ACA" w:rsidRPr="00AF2ACA" w:rsidRDefault="00AF2ACA" w:rsidP="00AF2ACA">
      <w:pPr>
        <w:bidi/>
        <w:jc w:val="both"/>
        <w:rPr>
          <w:rFonts w:ascii="David" w:hAnsi="David" w:cs="David"/>
          <w:sz w:val="28"/>
          <w:szCs w:val="28"/>
        </w:rPr>
      </w:pPr>
    </w:p>
    <w:sectPr w:rsidR="00AF2ACA" w:rsidRPr="00AF2AC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D4C59" w14:textId="77777777" w:rsidR="007525E0" w:rsidRDefault="007525E0" w:rsidP="009A1BEB">
      <w:pPr>
        <w:spacing w:after="0" w:line="240" w:lineRule="auto"/>
      </w:pPr>
      <w:r>
        <w:separator/>
      </w:r>
    </w:p>
  </w:endnote>
  <w:endnote w:type="continuationSeparator" w:id="0">
    <w:p w14:paraId="2912FEE0" w14:textId="77777777" w:rsidR="007525E0" w:rsidRDefault="007525E0" w:rsidP="009A1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Rockwell">
    <w:panose1 w:val="020606030202050204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70230" w14:textId="77777777" w:rsidR="007525E0" w:rsidRDefault="007525E0" w:rsidP="009A1BEB">
      <w:pPr>
        <w:spacing w:after="0" w:line="240" w:lineRule="auto"/>
      </w:pPr>
      <w:r>
        <w:separator/>
      </w:r>
    </w:p>
  </w:footnote>
  <w:footnote w:type="continuationSeparator" w:id="0">
    <w:p w14:paraId="2C11F1B8" w14:textId="77777777" w:rsidR="007525E0" w:rsidRDefault="007525E0" w:rsidP="009A1BEB">
      <w:pPr>
        <w:spacing w:after="0" w:line="240" w:lineRule="auto"/>
      </w:pPr>
      <w:r>
        <w:continuationSeparator/>
      </w:r>
    </w:p>
  </w:footnote>
  <w:footnote w:id="1">
    <w:p w14:paraId="789DD13E" w14:textId="794A2E77" w:rsidR="009A1BEB" w:rsidRPr="00AF2ACA" w:rsidRDefault="009A1BEB" w:rsidP="009A1BEB">
      <w:pPr>
        <w:pStyle w:val="Notedebasdepage"/>
        <w:bidi/>
        <w:jc w:val="both"/>
        <w:rPr>
          <w:rFonts w:ascii="David" w:hAnsi="David" w:cs="David"/>
          <w:rtl/>
        </w:rPr>
      </w:pPr>
      <w:r w:rsidRPr="00AF2ACA">
        <w:rPr>
          <w:rStyle w:val="Appelnotedebasdep"/>
          <w:rFonts w:ascii="David" w:hAnsi="David" w:cs="David"/>
        </w:rPr>
        <w:footnoteRef/>
      </w:r>
      <w:r w:rsidRPr="00AF2ACA">
        <w:rPr>
          <w:rFonts w:ascii="David" w:hAnsi="David" w:cs="David"/>
        </w:rPr>
        <w:t xml:space="preserve"> </w:t>
      </w:r>
      <w:r w:rsidRPr="00AF2ACA">
        <w:rPr>
          <w:rFonts w:ascii="David" w:hAnsi="David" w:cs="David"/>
          <w:rtl/>
        </w:rPr>
        <w:t xml:space="preserve"> </w:t>
      </w:r>
      <w:r w:rsidRPr="00AF2ACA">
        <w:rPr>
          <w:rFonts w:ascii="David" w:hAnsi="David" w:cs="David"/>
          <w:b/>
          <w:bCs/>
          <w:rtl/>
        </w:rPr>
        <w:t>נדה</w:t>
      </w:r>
      <w:r w:rsidRPr="00AF2ACA">
        <w:rPr>
          <w:rFonts w:ascii="David" w:hAnsi="David" w:cs="David"/>
          <w:rtl/>
        </w:rPr>
        <w:t xml:space="preserve"> </w:t>
      </w:r>
      <w:r w:rsidRPr="00AF2ACA">
        <w:rPr>
          <w:rFonts w:ascii="David" w:hAnsi="David" w:cs="David"/>
          <w:sz w:val="18"/>
          <w:szCs w:val="18"/>
          <w:rtl/>
        </w:rPr>
        <w:t>(דף לא:)</w:t>
      </w:r>
      <w:r w:rsidRPr="00AF2ACA">
        <w:rPr>
          <w:rFonts w:ascii="David" w:hAnsi="David" w:cs="David"/>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BEB"/>
    <w:rsid w:val="000F3244"/>
    <w:rsid w:val="001D2779"/>
    <w:rsid w:val="0052190E"/>
    <w:rsid w:val="007525E0"/>
    <w:rsid w:val="009A1BEB"/>
    <w:rsid w:val="00AF2ACA"/>
    <w:rsid w:val="00F8631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CFC9A"/>
  <w15:chartTrackingRefBased/>
  <w15:docId w15:val="{5B7C8867-497B-4B0E-B55D-A51149FA2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9A1BE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A1BEB"/>
    <w:rPr>
      <w:noProof/>
      <w:sz w:val="20"/>
      <w:szCs w:val="20"/>
    </w:rPr>
  </w:style>
  <w:style w:type="character" w:styleId="Appelnotedebasdep">
    <w:name w:val="footnote reference"/>
    <w:basedOn w:val="Policepardfaut"/>
    <w:uiPriority w:val="99"/>
    <w:semiHidden/>
    <w:unhideWhenUsed/>
    <w:rsid w:val="009A1B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00C02-977D-4714-B659-F2F7F0AF8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277</Words>
  <Characters>1525</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3</cp:revision>
  <dcterms:created xsi:type="dcterms:W3CDTF">2022-12-04T09:08:00Z</dcterms:created>
  <dcterms:modified xsi:type="dcterms:W3CDTF">2023-10-15T11:15:00Z</dcterms:modified>
</cp:coreProperties>
</file>