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368CE0" w14:textId="545DE43C" w:rsidR="001D2779" w:rsidRPr="0029396E" w:rsidRDefault="0029396E" w:rsidP="0029396E">
      <w:pPr>
        <w:bidi/>
        <w:ind w:left="4248"/>
        <w:jc w:val="both"/>
        <w:rPr>
          <w:rFonts w:ascii="David" w:hAnsi="David" w:cs="David"/>
          <w:sz w:val="56"/>
          <w:szCs w:val="56"/>
          <w:u w:val="single"/>
          <w:rtl/>
        </w:rPr>
      </w:pPr>
      <w:r w:rsidRPr="0029396E">
        <w:rPr>
          <w:rFonts w:ascii="David" w:hAnsi="David" w:cs="David" w:hint="cs"/>
          <w:sz w:val="56"/>
          <w:szCs w:val="56"/>
          <w:u w:val="single"/>
          <w:rtl/>
        </w:rPr>
        <w:t>זווג</w:t>
      </w:r>
    </w:p>
    <w:p w14:paraId="3109A4BE" w14:textId="5A01E9C9" w:rsidR="0029396E" w:rsidRDefault="0029396E" w:rsidP="0029396E">
      <w:pPr>
        <w:bidi/>
        <w:jc w:val="both"/>
        <w:rPr>
          <w:rFonts w:ascii="David" w:hAnsi="David" w:cs="David"/>
          <w:sz w:val="28"/>
          <w:szCs w:val="28"/>
          <w:rtl/>
        </w:rPr>
      </w:pPr>
    </w:p>
    <w:p w14:paraId="167298EB" w14:textId="45611B21" w:rsidR="0029396E" w:rsidRDefault="0029396E" w:rsidP="0029396E">
      <w:pPr>
        <w:bidi/>
        <w:jc w:val="both"/>
        <w:rPr>
          <w:rFonts w:ascii="David" w:hAnsi="David" w:cs="David"/>
          <w:sz w:val="28"/>
          <w:szCs w:val="28"/>
          <w:rtl/>
        </w:rPr>
      </w:pPr>
    </w:p>
    <w:p w14:paraId="395A9DD3" w14:textId="5084FA22" w:rsidR="0029396E" w:rsidRPr="0029396E" w:rsidRDefault="0029396E" w:rsidP="0029396E">
      <w:pPr>
        <w:bidi/>
        <w:jc w:val="both"/>
        <w:rPr>
          <w:rFonts w:ascii="David" w:hAnsi="David" w:cs="David"/>
          <w:sz w:val="36"/>
          <w:szCs w:val="36"/>
          <w:u w:val="single"/>
          <w:rtl/>
        </w:rPr>
      </w:pPr>
      <w:r w:rsidRPr="0029396E">
        <w:rPr>
          <w:rFonts w:ascii="David" w:hAnsi="David" w:cs="David" w:hint="cs"/>
          <w:sz w:val="36"/>
          <w:szCs w:val="36"/>
          <w:u w:val="single"/>
          <w:rtl/>
        </w:rPr>
        <w:t>שמא יקדמנו אחר</w:t>
      </w:r>
    </w:p>
    <w:p w14:paraId="25732CF5" w14:textId="1B4547A5" w:rsidR="0029396E" w:rsidRDefault="0029396E" w:rsidP="0029396E">
      <w:pPr>
        <w:bidi/>
        <w:jc w:val="both"/>
        <w:rPr>
          <w:rFonts w:ascii="David" w:hAnsi="David" w:cs="David"/>
          <w:sz w:val="28"/>
          <w:szCs w:val="28"/>
          <w:rtl/>
        </w:rPr>
      </w:pPr>
      <w:r>
        <w:rPr>
          <w:rFonts w:ascii="David" w:hAnsi="David" w:cs="David" w:hint="cs"/>
          <w:sz w:val="28"/>
          <w:szCs w:val="28"/>
          <w:rtl/>
        </w:rPr>
        <w:t xml:space="preserve">עי' </w:t>
      </w:r>
      <w:r w:rsidRPr="0029396E">
        <w:rPr>
          <w:rFonts w:ascii="David" w:hAnsi="David" w:cs="David" w:hint="cs"/>
          <w:b/>
          <w:bCs/>
          <w:sz w:val="28"/>
          <w:szCs w:val="28"/>
          <w:rtl/>
        </w:rPr>
        <w:t>מועד קטן</w:t>
      </w:r>
      <w:r>
        <w:rPr>
          <w:rFonts w:ascii="David" w:hAnsi="David" w:cs="David" w:hint="cs"/>
          <w:sz w:val="28"/>
          <w:szCs w:val="28"/>
          <w:rtl/>
        </w:rPr>
        <w:t xml:space="preserve"> </w:t>
      </w:r>
      <w:r w:rsidRPr="0029396E">
        <w:rPr>
          <w:rFonts w:ascii="David" w:hAnsi="David" w:cs="David" w:hint="cs"/>
          <w:sz w:val="24"/>
          <w:szCs w:val="24"/>
          <w:rtl/>
        </w:rPr>
        <w:t xml:space="preserve">(דף יח:) </w:t>
      </w:r>
      <w:r>
        <w:rPr>
          <w:rFonts w:ascii="David" w:hAnsi="David" w:cs="David" w:hint="cs"/>
          <w:sz w:val="28"/>
          <w:szCs w:val="28"/>
          <w:rtl/>
        </w:rPr>
        <w:t>''</w:t>
      </w:r>
      <w:r w:rsidRPr="0029396E">
        <w:rPr>
          <w:rFonts w:ascii="David" w:hAnsi="David" w:cs="David"/>
          <w:sz w:val="28"/>
          <w:szCs w:val="28"/>
          <w:rtl/>
        </w:rPr>
        <w:t xml:space="preserve">אמר </w:t>
      </w:r>
      <w:r w:rsidRPr="0029396E">
        <w:rPr>
          <w:rFonts w:ascii="David" w:hAnsi="David" w:cs="David"/>
          <w:b/>
          <w:bCs/>
          <w:sz w:val="28"/>
          <w:szCs w:val="28"/>
          <w:rtl/>
        </w:rPr>
        <w:t>שמואל</w:t>
      </w:r>
      <w:r w:rsidRPr="0029396E">
        <w:rPr>
          <w:rFonts w:ascii="David" w:hAnsi="David" w:cs="David"/>
          <w:sz w:val="28"/>
          <w:szCs w:val="28"/>
          <w:rtl/>
        </w:rPr>
        <w:t xml:space="preserve"> מותר לארס אשה בחולו של מועד שמא יקדמנו אחר</w:t>
      </w:r>
      <w:r>
        <w:rPr>
          <w:rFonts w:ascii="David" w:hAnsi="David" w:cs="David" w:hint="cs"/>
          <w:sz w:val="28"/>
          <w:szCs w:val="28"/>
          <w:rtl/>
        </w:rPr>
        <w:t>'', ומסקנה דמילתא ''שמא יקדמנו אחר ברחמים''.</w:t>
      </w:r>
    </w:p>
    <w:p w14:paraId="4BDA3A24" w14:textId="0CB4EF80" w:rsidR="0029396E" w:rsidRDefault="0029396E" w:rsidP="0029396E">
      <w:pPr>
        <w:bidi/>
        <w:jc w:val="both"/>
        <w:rPr>
          <w:rFonts w:ascii="David" w:hAnsi="David" w:cs="David"/>
          <w:sz w:val="28"/>
          <w:szCs w:val="28"/>
          <w:rtl/>
        </w:rPr>
      </w:pPr>
      <w:r>
        <w:rPr>
          <w:rFonts w:ascii="David" w:hAnsi="David" w:cs="David" w:hint="cs"/>
          <w:sz w:val="28"/>
          <w:szCs w:val="28"/>
          <w:rtl/>
        </w:rPr>
        <w:t>ונחלקו המפרשים בביאור דברי הגמ':</w:t>
      </w:r>
    </w:p>
    <w:p w14:paraId="1454CBD5" w14:textId="2AC87566" w:rsidR="0029396E" w:rsidRDefault="0029396E" w:rsidP="0029396E">
      <w:pPr>
        <w:pStyle w:val="Paragraphedeliste"/>
        <w:numPr>
          <w:ilvl w:val="0"/>
          <w:numId w:val="1"/>
        </w:numPr>
        <w:bidi/>
        <w:jc w:val="both"/>
        <w:rPr>
          <w:rFonts w:ascii="David" w:hAnsi="David" w:cs="David"/>
          <w:sz w:val="28"/>
          <w:szCs w:val="28"/>
        </w:rPr>
      </w:pPr>
      <w:r w:rsidRPr="0029396E">
        <w:rPr>
          <w:rFonts w:ascii="David" w:hAnsi="David" w:cs="David" w:hint="cs"/>
          <w:sz w:val="28"/>
          <w:szCs w:val="28"/>
          <w:u w:val="single"/>
          <w:rtl/>
        </w:rPr>
        <w:t>שיטת רש''י</w:t>
      </w:r>
      <w:r>
        <w:rPr>
          <w:rFonts w:ascii="David" w:hAnsi="David" w:cs="David" w:hint="cs"/>
          <w:sz w:val="28"/>
          <w:szCs w:val="28"/>
          <w:rtl/>
        </w:rPr>
        <w:t>: שע''י שיתפלל תמות היא קודם שתתחתן לזווג שלה.</w:t>
      </w:r>
    </w:p>
    <w:p w14:paraId="723BE88F" w14:textId="1FB8315A" w:rsidR="0029396E" w:rsidRDefault="0029396E" w:rsidP="0029396E">
      <w:pPr>
        <w:pStyle w:val="Paragraphedeliste"/>
        <w:numPr>
          <w:ilvl w:val="0"/>
          <w:numId w:val="1"/>
        </w:numPr>
        <w:bidi/>
        <w:jc w:val="both"/>
        <w:rPr>
          <w:rFonts w:ascii="David" w:hAnsi="David" w:cs="David"/>
          <w:sz w:val="28"/>
          <w:szCs w:val="28"/>
        </w:rPr>
      </w:pPr>
      <w:r w:rsidRPr="0029396E">
        <w:rPr>
          <w:rFonts w:ascii="David" w:hAnsi="David" w:cs="David" w:hint="cs"/>
          <w:sz w:val="28"/>
          <w:szCs w:val="28"/>
          <w:u w:val="single"/>
          <w:rtl/>
        </w:rPr>
        <w:t>שיטת הר''ן</w:t>
      </w:r>
      <w:r>
        <w:rPr>
          <w:rFonts w:ascii="David" w:hAnsi="David" w:cs="David" w:hint="cs"/>
          <w:sz w:val="28"/>
          <w:szCs w:val="28"/>
          <w:rtl/>
        </w:rPr>
        <w:t>: שע''י שיתפלל</w:t>
      </w:r>
      <w:r w:rsidRPr="0029396E">
        <w:rPr>
          <w:rFonts w:ascii="David" w:hAnsi="David" w:cs="David" w:hint="cs"/>
          <w:sz w:val="28"/>
          <w:szCs w:val="28"/>
          <w:rtl/>
        </w:rPr>
        <w:t xml:space="preserve"> אפשר ש</w:t>
      </w:r>
      <w:r>
        <w:rPr>
          <w:rFonts w:ascii="David" w:hAnsi="David" w:cs="David" w:hint="cs"/>
          <w:sz w:val="28"/>
          <w:szCs w:val="28"/>
          <w:rtl/>
        </w:rPr>
        <w:t xml:space="preserve">ה' </w:t>
      </w:r>
      <w:r w:rsidRPr="0029396E">
        <w:rPr>
          <w:rFonts w:ascii="David" w:hAnsi="David" w:cs="David" w:hint="cs"/>
          <w:sz w:val="28"/>
          <w:szCs w:val="28"/>
          <w:rtl/>
        </w:rPr>
        <w:t>ישמע לו, אף כי בסוף תתקיים הגזירה שיגרשנה האיש שיתפלל עליה, או ימות במהרה וישאנה אותו שהוא בן זוגה אח''כ.</w:t>
      </w:r>
    </w:p>
    <w:p w14:paraId="5DF5C316" w14:textId="73080CEB" w:rsidR="0029396E" w:rsidRDefault="0029396E" w:rsidP="0029396E">
      <w:pPr>
        <w:bidi/>
        <w:jc w:val="both"/>
        <w:rPr>
          <w:rFonts w:ascii="David" w:hAnsi="David" w:cs="David"/>
          <w:sz w:val="28"/>
          <w:szCs w:val="28"/>
          <w:rtl/>
        </w:rPr>
      </w:pPr>
      <w:r>
        <w:rPr>
          <w:rFonts w:ascii="David" w:hAnsi="David" w:cs="David" w:hint="cs"/>
          <w:sz w:val="28"/>
          <w:szCs w:val="28"/>
          <w:rtl/>
        </w:rPr>
        <w:t xml:space="preserve"> </w:t>
      </w:r>
    </w:p>
    <w:p w14:paraId="16E47A66" w14:textId="29668778" w:rsidR="0029396E" w:rsidRPr="0029396E" w:rsidRDefault="0029396E" w:rsidP="0029396E">
      <w:pPr>
        <w:bidi/>
        <w:jc w:val="both"/>
        <w:rPr>
          <w:rFonts w:ascii="David" w:hAnsi="David" w:cs="David"/>
          <w:sz w:val="36"/>
          <w:szCs w:val="36"/>
          <w:u w:val="single"/>
          <w:rtl/>
        </w:rPr>
      </w:pPr>
      <w:r w:rsidRPr="0029396E">
        <w:rPr>
          <w:rFonts w:ascii="David" w:hAnsi="David" w:cs="David" w:hint="cs"/>
          <w:sz w:val="36"/>
          <w:szCs w:val="36"/>
          <w:u w:val="single"/>
          <w:rtl/>
        </w:rPr>
        <w:t>מה' אשה לאיש</w:t>
      </w:r>
    </w:p>
    <w:p w14:paraId="5D67D604" w14:textId="4E5BB5A7" w:rsidR="0029396E" w:rsidRDefault="0029396E" w:rsidP="0029396E">
      <w:pPr>
        <w:bidi/>
        <w:jc w:val="both"/>
        <w:rPr>
          <w:rFonts w:ascii="David" w:hAnsi="David" w:cs="David"/>
          <w:sz w:val="28"/>
          <w:szCs w:val="28"/>
          <w:rtl/>
        </w:rPr>
      </w:pPr>
      <w:r>
        <w:rPr>
          <w:rFonts w:ascii="David" w:hAnsi="David" w:cs="David" w:hint="cs"/>
          <w:sz w:val="28"/>
          <w:szCs w:val="28"/>
          <w:rtl/>
        </w:rPr>
        <w:t xml:space="preserve">עי' </w:t>
      </w:r>
      <w:r w:rsidRPr="0029396E">
        <w:rPr>
          <w:rFonts w:ascii="David" w:hAnsi="David" w:cs="David" w:hint="cs"/>
          <w:b/>
          <w:bCs/>
          <w:sz w:val="28"/>
          <w:szCs w:val="28"/>
          <w:rtl/>
        </w:rPr>
        <w:t>מועד קט</w:t>
      </w:r>
      <w:r>
        <w:rPr>
          <w:rFonts w:ascii="David" w:hAnsi="David" w:cs="David" w:hint="cs"/>
          <w:b/>
          <w:bCs/>
          <w:sz w:val="28"/>
          <w:szCs w:val="28"/>
          <w:rtl/>
        </w:rPr>
        <w:t>ן</w:t>
      </w:r>
      <w:r>
        <w:rPr>
          <w:rFonts w:ascii="David" w:hAnsi="David" w:cs="David" w:hint="cs"/>
          <w:sz w:val="28"/>
          <w:szCs w:val="28"/>
          <w:rtl/>
        </w:rPr>
        <w:t xml:space="preserve"> </w:t>
      </w:r>
      <w:r w:rsidRPr="0029396E">
        <w:rPr>
          <w:rFonts w:ascii="David" w:hAnsi="David" w:cs="David" w:hint="cs"/>
          <w:sz w:val="24"/>
          <w:szCs w:val="24"/>
          <w:rtl/>
        </w:rPr>
        <w:t xml:space="preserve">(דף יח:) </w:t>
      </w:r>
      <w:r>
        <w:rPr>
          <w:rFonts w:ascii="David" w:hAnsi="David" w:cs="David" w:hint="cs"/>
          <w:sz w:val="28"/>
          <w:szCs w:val="28"/>
          <w:rtl/>
        </w:rPr>
        <w:t>''</w:t>
      </w:r>
      <w:r w:rsidRPr="0029396E">
        <w:rPr>
          <w:rFonts w:ascii="David" w:hAnsi="David" w:cs="David"/>
          <w:sz w:val="28"/>
          <w:szCs w:val="28"/>
          <w:rtl/>
        </w:rPr>
        <w:t xml:space="preserve">אמר </w:t>
      </w:r>
      <w:r w:rsidRPr="0029396E">
        <w:rPr>
          <w:rFonts w:ascii="David" w:hAnsi="David" w:cs="David"/>
          <w:b/>
          <w:bCs/>
          <w:sz w:val="28"/>
          <w:szCs w:val="28"/>
          <w:rtl/>
        </w:rPr>
        <w:t>רב</w:t>
      </w:r>
      <w:r w:rsidRPr="0029396E">
        <w:rPr>
          <w:rFonts w:ascii="David" w:hAnsi="David" w:cs="David"/>
          <w:sz w:val="28"/>
          <w:szCs w:val="28"/>
          <w:rtl/>
        </w:rPr>
        <w:t xml:space="preserve"> משום </w:t>
      </w:r>
      <w:r w:rsidRPr="0029396E">
        <w:rPr>
          <w:rFonts w:ascii="David" w:hAnsi="David" w:cs="David"/>
          <w:b/>
          <w:bCs/>
          <w:sz w:val="28"/>
          <w:szCs w:val="28"/>
          <w:rtl/>
        </w:rPr>
        <w:t>רבי ראובן בן אצטרובילי</w:t>
      </w:r>
      <w:r w:rsidRPr="0029396E">
        <w:rPr>
          <w:rFonts w:ascii="David" w:hAnsi="David" w:cs="David"/>
          <w:sz w:val="28"/>
          <w:szCs w:val="28"/>
          <w:rtl/>
        </w:rPr>
        <w:t xml:space="preserve"> מן התורה ומן הנביאים ומן הכתובים מה' אשה לאיש מן התורה דכתיב ויען לבן ובתואל ויאמרו מה' יצא הדבר מן הנביאים דכתיב ואביו ואמו לא ידעו כי מה' היא מן הכתובים דכתיב בית והון נחלת אבות ומה' אשה משכלת</w:t>
      </w:r>
      <w:r>
        <w:rPr>
          <w:rFonts w:ascii="David" w:hAnsi="David" w:cs="David" w:hint="cs"/>
          <w:sz w:val="28"/>
          <w:szCs w:val="28"/>
          <w:rtl/>
        </w:rPr>
        <w:t>''.</w:t>
      </w:r>
    </w:p>
    <w:p w14:paraId="72BC5FB6" w14:textId="77777777" w:rsidR="000E2DF4" w:rsidRDefault="000E2DF4" w:rsidP="000E2DF4">
      <w:pPr>
        <w:bidi/>
        <w:jc w:val="both"/>
        <w:rPr>
          <w:rFonts w:ascii="David" w:hAnsi="David" w:cs="David"/>
          <w:sz w:val="28"/>
          <w:szCs w:val="28"/>
          <w:rtl/>
        </w:rPr>
      </w:pPr>
    </w:p>
    <w:p w14:paraId="1CE6FE08" w14:textId="32ECAD50" w:rsidR="000E2DF4" w:rsidRDefault="000E2DF4" w:rsidP="000E2DF4">
      <w:pPr>
        <w:bidi/>
        <w:jc w:val="both"/>
        <w:rPr>
          <w:rFonts w:ascii="David" w:hAnsi="David" w:cs="David"/>
          <w:sz w:val="36"/>
          <w:szCs w:val="36"/>
          <w:u w:val="single"/>
          <w:rtl/>
        </w:rPr>
      </w:pPr>
      <w:r w:rsidRPr="000E2DF4">
        <w:rPr>
          <w:rFonts w:ascii="David" w:hAnsi="David" w:cs="David"/>
          <w:sz w:val="36"/>
          <w:szCs w:val="36"/>
          <w:u w:val="single"/>
          <w:rtl/>
        </w:rPr>
        <w:t>אין מזווגין לאדם אלא לפי מעשיו</w:t>
      </w:r>
    </w:p>
    <w:p w14:paraId="3F00FCD0" w14:textId="5B29B2B3" w:rsidR="000E2DF4" w:rsidRPr="000E2DF4" w:rsidRDefault="000E2DF4" w:rsidP="000E2DF4">
      <w:pPr>
        <w:bidi/>
        <w:jc w:val="both"/>
        <w:rPr>
          <w:rFonts w:ascii="David" w:hAnsi="David" w:cs="David"/>
          <w:sz w:val="28"/>
          <w:szCs w:val="28"/>
          <w:rtl/>
        </w:rPr>
      </w:pPr>
      <w:r w:rsidRPr="000E2DF4">
        <w:rPr>
          <w:rFonts w:ascii="David" w:hAnsi="David" w:cs="David" w:hint="cs"/>
          <w:sz w:val="28"/>
          <w:szCs w:val="28"/>
          <w:rtl/>
        </w:rPr>
        <w:t xml:space="preserve">עי' </w:t>
      </w:r>
      <w:r w:rsidRPr="000E2DF4">
        <w:rPr>
          <w:rFonts w:ascii="David" w:hAnsi="David" w:cs="David"/>
          <w:sz w:val="28"/>
          <w:szCs w:val="28"/>
          <w:rtl/>
        </w:rPr>
        <w:t xml:space="preserve">חידושי אגדות </w:t>
      </w:r>
      <w:r w:rsidRPr="000E2DF4">
        <w:rPr>
          <w:rFonts w:ascii="David" w:hAnsi="David" w:cs="David"/>
          <w:b/>
          <w:bCs/>
          <w:sz w:val="28"/>
          <w:szCs w:val="28"/>
          <w:rtl/>
        </w:rPr>
        <w:t>למהר"ל</w:t>
      </w:r>
      <w:r w:rsidRPr="000E2DF4">
        <w:rPr>
          <w:rFonts w:ascii="David" w:hAnsi="David" w:cs="David"/>
          <w:sz w:val="28"/>
          <w:szCs w:val="28"/>
          <w:rtl/>
        </w:rPr>
        <w:t xml:space="preserve"> </w:t>
      </w:r>
      <w:r w:rsidRPr="000E2DF4">
        <w:rPr>
          <w:rFonts w:ascii="David" w:hAnsi="David" w:cs="David" w:hint="cs"/>
          <w:sz w:val="28"/>
          <w:szCs w:val="28"/>
          <w:rtl/>
        </w:rPr>
        <w:t xml:space="preserve">במס' </w:t>
      </w:r>
      <w:r w:rsidRPr="000E2DF4">
        <w:rPr>
          <w:rFonts w:ascii="David" w:hAnsi="David" w:cs="David"/>
          <w:b/>
          <w:bCs/>
          <w:sz w:val="28"/>
          <w:szCs w:val="28"/>
          <w:rtl/>
        </w:rPr>
        <w:t>סוטה</w:t>
      </w:r>
      <w:r w:rsidRPr="000E2DF4">
        <w:rPr>
          <w:rFonts w:ascii="David" w:hAnsi="David" w:cs="David"/>
          <w:sz w:val="28"/>
          <w:szCs w:val="28"/>
          <w:rtl/>
        </w:rPr>
        <w:t xml:space="preserve"> </w:t>
      </w:r>
      <w:r w:rsidRPr="000E2DF4">
        <w:rPr>
          <w:rFonts w:ascii="David" w:hAnsi="David" w:cs="David" w:hint="cs"/>
          <w:sz w:val="28"/>
          <w:szCs w:val="28"/>
          <w:rtl/>
        </w:rPr>
        <w:t>(</w:t>
      </w:r>
      <w:r w:rsidRPr="000E2DF4">
        <w:rPr>
          <w:rFonts w:ascii="David" w:hAnsi="David" w:cs="David"/>
          <w:sz w:val="28"/>
          <w:szCs w:val="28"/>
          <w:rtl/>
        </w:rPr>
        <w:t>דף ב</w:t>
      </w:r>
      <w:r w:rsidRPr="000E2DF4">
        <w:rPr>
          <w:rFonts w:ascii="David" w:hAnsi="David" w:cs="David" w:hint="cs"/>
          <w:sz w:val="28"/>
          <w:szCs w:val="28"/>
          <w:rtl/>
        </w:rPr>
        <w:t>:) שכותב וז''ל ''</w:t>
      </w:r>
      <w:r w:rsidRPr="000E2DF4">
        <w:rPr>
          <w:rFonts w:ascii="David" w:hAnsi="David" w:cs="David"/>
          <w:sz w:val="28"/>
          <w:szCs w:val="28"/>
          <w:rtl/>
        </w:rPr>
        <w:t>דבר זה פשוט, כי האיש והאשה בשר אחד, ולפיכך אין מזווגין לאדם אלא לפי מעשיו</w:t>
      </w:r>
      <w:r>
        <w:rPr>
          <w:rFonts w:ascii="David" w:hAnsi="David" w:cs="David" w:hint="cs"/>
          <w:sz w:val="28"/>
          <w:szCs w:val="28"/>
          <w:rtl/>
        </w:rPr>
        <w:t>''.</w:t>
      </w:r>
    </w:p>
    <w:p w14:paraId="5C3E30F0" w14:textId="64AC3F30" w:rsidR="000E2DF4" w:rsidRPr="000E2DF4" w:rsidRDefault="000E2DF4" w:rsidP="000E2DF4">
      <w:pPr>
        <w:bidi/>
        <w:jc w:val="both"/>
        <w:rPr>
          <w:rFonts w:ascii="David" w:hAnsi="David" w:cs="David"/>
          <w:sz w:val="36"/>
          <w:szCs w:val="36"/>
          <w:u w:val="single"/>
          <w:rtl/>
        </w:rPr>
      </w:pPr>
      <w:r w:rsidRPr="000E2DF4">
        <w:rPr>
          <w:rFonts w:ascii="David" w:hAnsi="David" w:cs="David"/>
          <w:sz w:val="36"/>
          <w:szCs w:val="36"/>
          <w:u w:val="single"/>
          <w:rtl/>
        </w:rPr>
        <w:t>קשה לזווגם כקריעת ים סוף</w:t>
      </w:r>
    </w:p>
    <w:p w14:paraId="3AEF8E84" w14:textId="1B30350A" w:rsidR="000E2DF4" w:rsidRPr="000E2DF4" w:rsidRDefault="000E2DF4" w:rsidP="000E2DF4">
      <w:pPr>
        <w:bidi/>
        <w:jc w:val="both"/>
        <w:rPr>
          <w:rFonts w:ascii="David" w:hAnsi="David" w:cs="David"/>
          <w:sz w:val="28"/>
          <w:szCs w:val="28"/>
          <w:rtl/>
        </w:rPr>
      </w:pPr>
      <w:bookmarkStart w:id="0" w:name="_Hlk131322111"/>
      <w:r>
        <w:rPr>
          <w:rFonts w:ascii="David" w:hAnsi="David" w:cs="David" w:hint="cs"/>
          <w:sz w:val="28"/>
          <w:szCs w:val="28"/>
          <w:rtl/>
        </w:rPr>
        <w:t xml:space="preserve">עי' </w:t>
      </w:r>
      <w:r w:rsidRPr="000E2DF4">
        <w:rPr>
          <w:rFonts w:ascii="David" w:hAnsi="David" w:cs="David"/>
          <w:sz w:val="28"/>
          <w:szCs w:val="28"/>
          <w:rtl/>
        </w:rPr>
        <w:t xml:space="preserve">חידושי אגדות </w:t>
      </w:r>
      <w:r w:rsidRPr="000E2DF4">
        <w:rPr>
          <w:rFonts w:ascii="David" w:hAnsi="David" w:cs="David"/>
          <w:b/>
          <w:bCs/>
          <w:sz w:val="28"/>
          <w:szCs w:val="28"/>
          <w:rtl/>
        </w:rPr>
        <w:t>למהר"ל</w:t>
      </w:r>
      <w:r w:rsidRPr="000E2DF4">
        <w:rPr>
          <w:rFonts w:ascii="David" w:hAnsi="David" w:cs="David"/>
          <w:sz w:val="28"/>
          <w:szCs w:val="28"/>
          <w:rtl/>
        </w:rPr>
        <w:t xml:space="preserve"> </w:t>
      </w:r>
      <w:r>
        <w:rPr>
          <w:rFonts w:ascii="David" w:hAnsi="David" w:cs="David" w:hint="cs"/>
          <w:sz w:val="28"/>
          <w:szCs w:val="28"/>
          <w:rtl/>
        </w:rPr>
        <w:t xml:space="preserve">במס' </w:t>
      </w:r>
      <w:r w:rsidRPr="000E2DF4">
        <w:rPr>
          <w:rFonts w:ascii="David" w:hAnsi="David" w:cs="David"/>
          <w:b/>
          <w:bCs/>
          <w:sz w:val="28"/>
          <w:szCs w:val="28"/>
          <w:rtl/>
        </w:rPr>
        <w:t>סוטה</w:t>
      </w:r>
      <w:r w:rsidRPr="000E2DF4">
        <w:rPr>
          <w:rFonts w:ascii="David" w:hAnsi="David" w:cs="David"/>
          <w:sz w:val="28"/>
          <w:szCs w:val="28"/>
          <w:rtl/>
        </w:rPr>
        <w:t xml:space="preserve"> </w:t>
      </w:r>
      <w:r w:rsidRPr="000E2DF4">
        <w:rPr>
          <w:rFonts w:ascii="David" w:hAnsi="David" w:cs="David" w:hint="cs"/>
          <w:sz w:val="24"/>
          <w:szCs w:val="24"/>
          <w:rtl/>
        </w:rPr>
        <w:t>(</w:t>
      </w:r>
      <w:r w:rsidRPr="000E2DF4">
        <w:rPr>
          <w:rFonts w:ascii="David" w:hAnsi="David" w:cs="David"/>
          <w:sz w:val="24"/>
          <w:szCs w:val="24"/>
          <w:rtl/>
        </w:rPr>
        <w:t>דף ב</w:t>
      </w:r>
      <w:r w:rsidRPr="000E2DF4">
        <w:rPr>
          <w:rFonts w:ascii="David" w:hAnsi="David" w:cs="David" w:hint="cs"/>
          <w:sz w:val="24"/>
          <w:szCs w:val="24"/>
          <w:rtl/>
        </w:rPr>
        <w:t xml:space="preserve">:) </w:t>
      </w:r>
      <w:r>
        <w:rPr>
          <w:rFonts w:ascii="David" w:hAnsi="David" w:cs="David" w:hint="cs"/>
          <w:sz w:val="28"/>
          <w:szCs w:val="28"/>
          <w:rtl/>
        </w:rPr>
        <w:t xml:space="preserve">שכותב וז''ל </w:t>
      </w:r>
      <w:bookmarkEnd w:id="0"/>
      <w:r>
        <w:rPr>
          <w:rFonts w:ascii="David" w:hAnsi="David" w:cs="David" w:hint="cs"/>
          <w:sz w:val="28"/>
          <w:szCs w:val="28"/>
          <w:rtl/>
        </w:rPr>
        <w:t>''</w:t>
      </w:r>
      <w:r w:rsidRPr="000E2DF4">
        <w:rPr>
          <w:rFonts w:ascii="David" w:hAnsi="David" w:cs="David"/>
          <w:sz w:val="28"/>
          <w:szCs w:val="28"/>
          <w:rtl/>
        </w:rPr>
        <w:t xml:space="preserve">וקאמר </w:t>
      </w:r>
      <w:bookmarkStart w:id="1" w:name="_Hlk131322047"/>
      <w:r w:rsidRPr="000E2DF4">
        <w:rPr>
          <w:rFonts w:ascii="David" w:hAnsi="David" w:cs="David"/>
          <w:sz w:val="28"/>
          <w:szCs w:val="28"/>
          <w:rtl/>
        </w:rPr>
        <w:t>וקשה לזווגם כקריעת ים סוף</w:t>
      </w:r>
      <w:bookmarkEnd w:id="1"/>
      <w:r w:rsidRPr="000E2DF4">
        <w:rPr>
          <w:rFonts w:ascii="David" w:hAnsi="David" w:cs="David"/>
          <w:sz w:val="28"/>
          <w:szCs w:val="28"/>
          <w:rtl/>
        </w:rPr>
        <w:t>, ר"ל כשם שהוא פלא גדול לקרוע דבר שהוא אחד כמו הים שהוא אחד, וקשה הוא לחלק ולהפרידו לשנים, וכך הוא פלא גדול לחבר שני דברים שהם בעצמם מחולקים, כדכתיב מושיב יחידים ביתה, כלומר יחידים שהם מחולקים ומפורדים להושיב אותם לחבר אותם, הוא כמו קריעת ים שהוא חלוק דבר שהוא אחד (כזה), כי חלוק דבר שהוא אחד לגמרי הוא קשה כמו לחבר ולעשות אחד דבר שהוא מחולק בעצמו כמו איש ואשה</w:t>
      </w:r>
      <w:r w:rsidRPr="000E2DF4">
        <w:rPr>
          <w:rFonts w:ascii="David" w:hAnsi="David" w:cs="David"/>
          <w:sz w:val="28"/>
          <w:szCs w:val="28"/>
        </w:rPr>
        <w:t>.</w:t>
      </w:r>
    </w:p>
    <w:p w14:paraId="133B23B7" w14:textId="77777777" w:rsidR="000E2DF4" w:rsidRPr="000E2DF4" w:rsidRDefault="000E2DF4" w:rsidP="000E2DF4">
      <w:pPr>
        <w:bidi/>
        <w:jc w:val="both"/>
        <w:rPr>
          <w:rFonts w:ascii="David" w:hAnsi="David" w:cs="David"/>
          <w:sz w:val="28"/>
          <w:szCs w:val="28"/>
          <w:rtl/>
        </w:rPr>
      </w:pPr>
      <w:r w:rsidRPr="000E2DF4">
        <w:rPr>
          <w:rFonts w:ascii="David" w:hAnsi="David" w:cs="David"/>
          <w:sz w:val="28"/>
          <w:szCs w:val="28"/>
          <w:rtl/>
        </w:rPr>
        <w:t xml:space="preserve">ועוד תדע שקשה לזווגם כקריעת ים סוף, כי קריעת ים סוף היה נס שלא כסדר העולם, וכך החבור הזה הוא שלא ממדריגת העולם הזה, כי בטבעם הם מחולקים, ואי אפשר שיזדווגו ויתאחדו רק שלא ממדריגת עולם הזה. והדבר הזה ידוע מן מה שאמרו כי שם יה מחבר איש ואשה ביחד, ובקריעת ים סוף כתיב (שמות ט"ו) עזי וזמרת יה ויהי לי לישועה, ולפיכך קשה לזווגם כקריעת ים סוף. אבל זיווג ראשון הוא מסודר מן הש"י בראשונה, ומכיון שהוא מסודר מן הש"י אין זווגם קשה כקריעת ים סוף, וזיוג ראשון אף שאינו כמו קריעת ים סוף מכל מקום הש"י מזווגם, וכן אמרו ז"ל (ב"ר פס"ח) מצאנו בתורה בנביאים בכתובים שזיוג של אדם הוא מן הש"י, ואמרו מ' יום קודם יצירת הולד בת קול יוצא ואמר בת פלוני לפלוני, ומזה תדע שהזיוג הזה הוא מן הש"י, לכך הוא מסודר קודם יצירת האדם. רק מפני כי זיוג </w:t>
      </w:r>
      <w:r w:rsidRPr="000E2DF4">
        <w:rPr>
          <w:rFonts w:ascii="David" w:hAnsi="David" w:cs="David"/>
          <w:sz w:val="28"/>
          <w:szCs w:val="28"/>
          <w:rtl/>
        </w:rPr>
        <w:lastRenderedPageBreak/>
        <w:t>הראשון הוא מסודר בראשונה אין לומר בו שהוא קשה כמו קריעת ים סוף שדבר זה שנוי, אבל זיוג שני אין לומר כך כי האדם הזה שחסר זיוג שלו שהיתה עצם מעצמו להיות לו זיוג שני ודבר זה קשה מאוד</w:t>
      </w:r>
      <w:r w:rsidRPr="000E2DF4">
        <w:rPr>
          <w:rFonts w:ascii="David" w:hAnsi="David" w:cs="David"/>
          <w:sz w:val="28"/>
          <w:szCs w:val="28"/>
        </w:rPr>
        <w:t>.</w:t>
      </w:r>
    </w:p>
    <w:p w14:paraId="1FBE6060" w14:textId="0A7A91A9" w:rsidR="000E2DF4" w:rsidRPr="0029396E" w:rsidRDefault="000E2DF4" w:rsidP="000E2DF4">
      <w:pPr>
        <w:bidi/>
        <w:jc w:val="both"/>
        <w:rPr>
          <w:rFonts w:ascii="David" w:hAnsi="David" w:cs="David"/>
          <w:sz w:val="28"/>
          <w:szCs w:val="28"/>
        </w:rPr>
      </w:pPr>
      <w:r w:rsidRPr="000E2DF4">
        <w:rPr>
          <w:rFonts w:ascii="David" w:hAnsi="David" w:cs="David"/>
          <w:sz w:val="28"/>
          <w:szCs w:val="28"/>
          <w:rtl/>
        </w:rPr>
        <w:t>ויש מפרשים גם כן הא דקאמר זיוג שני קשה לזווגם כקריעת ים סוף, היינו כי כאשר הזיוג הראשון אינו ראוי רק או הוא או היא ראוי לזיוג אחר, אז הש"י מסלק אחד מן הזיוג הראשון עד שמחבר הזיוג השני אשר ראוי שיהיו ביחד, לכך זיוג שני הוא קשה כמו קריעת ים סוף, כי קריעת ים סוף הוא קשה לאבד את המצריים ולהציל את ישראל, ולא היה אפשר להציל את ישראל אם לא על ידי אבידת המצרים, ודבר זה היה קשה בעיני הש"י כי אלו מעשה ידיו ואלו מעשה ידיו האיך יאבד אלו מפני אלו, וכמו שפירש רש"י ז"ל בפי' החומש ממדרש חכמים, וזהו שהזיוג השני קשה כמו קריעת ים סוף שהוא צריך לאבד אחד מזיוג הראשון כדי לחבר הזיוג השני, וכך מצאתי. ודע עוד כי מה שאמר כי קשה לזווגם כמו קריעת ים סוף, כי הש"י כאשר קרע הים היה פועל הבקיעה בים שהוא גשמי לבקע אותו ולחלקו, ומה שהוא יתברך מזווג זיווגים מצד האדם הגשמי הרי [האיש] בפני עצמו ונקיבה בפני עצמה, מצד שיש באדם ענין אלקי ומצד הזה הוא החבור לגמרי, והש"י מחבר אותם זה שהוא מצד ענין אלקי שהוא באדם והוא בטול ובקיעת הגשמי, וזה שאמר שהוא קשה כמו קריעת ים סוף, והדבר הזה עמוק מאוד והוא דבר ברור שהוא כמו קריעת ים סוף. ויש מקשים על דברי חכמים כיון שמ' יום קודם יצירת הולד בת קול יוצא בת פלוני לפלוני אם כן למה צריך האדם להשתדל אחר האשה שהרי גזירת הש"י והחריצות שקר ואין זה קשיא</w:t>
      </w:r>
      <w:r>
        <w:rPr>
          <w:rFonts w:ascii="David" w:hAnsi="David" w:cs="David" w:hint="cs"/>
          <w:sz w:val="28"/>
          <w:szCs w:val="28"/>
          <w:rtl/>
        </w:rPr>
        <w:t>''</w:t>
      </w:r>
      <w:r w:rsidRPr="000E2DF4">
        <w:rPr>
          <w:rFonts w:ascii="David" w:hAnsi="David" w:cs="David"/>
          <w:sz w:val="28"/>
          <w:szCs w:val="28"/>
          <w:rtl/>
        </w:rPr>
        <w:t>.</w:t>
      </w:r>
    </w:p>
    <w:sectPr w:rsidR="000E2DF4" w:rsidRPr="0029396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705CBE"/>
    <w:multiLevelType w:val="hybridMultilevel"/>
    <w:tmpl w:val="3AD0CF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9595290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396E"/>
    <w:rsid w:val="000E2DF4"/>
    <w:rsid w:val="001D2779"/>
    <w:rsid w:val="0029396E"/>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5A6DCC"/>
  <w15:chartTrackingRefBased/>
  <w15:docId w15:val="{22411426-36CC-4C57-8345-9E4731523A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29396E"/>
    <w:pPr>
      <w:ind w:left="720"/>
      <w:contextualSpacing/>
    </w:pPr>
  </w:style>
  <w:style w:type="character" w:styleId="Lienhypertexte">
    <w:name w:val="Hyperlink"/>
    <w:basedOn w:val="Policepardfaut"/>
    <w:uiPriority w:val="99"/>
    <w:unhideWhenUsed/>
    <w:rsid w:val="0029396E"/>
    <w:rPr>
      <w:color w:val="0563C1" w:themeColor="hyperlink"/>
      <w:u w:val="single"/>
    </w:rPr>
  </w:style>
  <w:style w:type="character" w:styleId="Mentionnonrsolue">
    <w:name w:val="Unresolved Mention"/>
    <w:basedOn w:val="Policepardfaut"/>
    <w:uiPriority w:val="99"/>
    <w:semiHidden/>
    <w:unhideWhenUsed/>
    <w:rsid w:val="002939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514</Words>
  <Characters>2830</Characters>
  <Application>Microsoft Office Word</Application>
  <DocSecurity>0</DocSecurity>
  <Lines>23</Lines>
  <Paragraphs>6</Paragraphs>
  <ScaleCrop>false</ScaleCrop>
  <Company/>
  <LinksUpToDate>false</LinksUpToDate>
  <CharactersWithSpaces>3338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biniamine benchetrit</cp:lastModifiedBy>
  <cp:revision>3</cp:revision>
  <dcterms:created xsi:type="dcterms:W3CDTF">2023-02-28T16:02:00Z</dcterms:created>
  <dcterms:modified xsi:type="dcterms:W3CDTF">2023-04-02T07:03:00Z</dcterms:modified>
</cp:coreProperties>
</file>