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06F7B" w14:textId="62FAD9E1" w:rsidR="001D2779" w:rsidRPr="009D3524" w:rsidRDefault="009D3524" w:rsidP="009D3524">
      <w:pPr>
        <w:bidi/>
        <w:ind w:left="3540"/>
        <w:jc w:val="both"/>
        <w:rPr>
          <w:rFonts w:ascii="David" w:hAnsi="David" w:cs="David"/>
          <w:sz w:val="56"/>
          <w:szCs w:val="56"/>
          <w:u w:val="single"/>
          <w:rtl/>
        </w:rPr>
      </w:pPr>
      <w:r w:rsidRPr="009D3524">
        <w:rPr>
          <w:rFonts w:ascii="David" w:hAnsi="David" w:cs="David" w:hint="cs"/>
          <w:sz w:val="56"/>
          <w:szCs w:val="56"/>
          <w:u w:val="single"/>
          <w:rtl/>
        </w:rPr>
        <w:t>יום שני</w:t>
      </w:r>
    </w:p>
    <w:p w14:paraId="4C8589CB" w14:textId="3A0410A8" w:rsidR="009D3524" w:rsidRPr="009D3524" w:rsidRDefault="009D3524" w:rsidP="009D3524">
      <w:pPr>
        <w:bidi/>
        <w:ind w:left="3540"/>
        <w:jc w:val="both"/>
        <w:rPr>
          <w:rFonts w:ascii="David" w:hAnsi="David" w:cs="David"/>
          <w:sz w:val="56"/>
          <w:szCs w:val="56"/>
          <w:u w:val="single"/>
          <w:rtl/>
        </w:rPr>
      </w:pPr>
    </w:p>
    <w:p w14:paraId="48FFC3B0" w14:textId="17031BCB" w:rsidR="009D3524" w:rsidRDefault="009D3524" w:rsidP="009D3524">
      <w:pPr>
        <w:bidi/>
        <w:jc w:val="both"/>
        <w:rPr>
          <w:rFonts w:ascii="David" w:hAnsi="David" w:cs="David"/>
          <w:sz w:val="28"/>
          <w:szCs w:val="28"/>
          <w:rtl/>
        </w:rPr>
      </w:pPr>
    </w:p>
    <w:p w14:paraId="68A72DDB" w14:textId="7B0FBC7B" w:rsidR="009D3524" w:rsidRPr="009D3524" w:rsidRDefault="009D3524" w:rsidP="009D3524">
      <w:pPr>
        <w:bidi/>
        <w:jc w:val="both"/>
        <w:rPr>
          <w:rFonts w:ascii="David" w:hAnsi="David" w:cs="David"/>
          <w:sz w:val="36"/>
          <w:szCs w:val="36"/>
          <w:u w:val="single"/>
          <w:rtl/>
        </w:rPr>
      </w:pPr>
      <w:r w:rsidRPr="009D3524">
        <w:rPr>
          <w:rFonts w:ascii="David" w:hAnsi="David" w:cs="David" w:hint="cs"/>
          <w:sz w:val="36"/>
          <w:szCs w:val="36"/>
          <w:u w:val="single"/>
          <w:rtl/>
        </w:rPr>
        <w:t>לא להתחיל מלאכה ביום שני</w:t>
      </w:r>
    </w:p>
    <w:p w14:paraId="1850BD68" w14:textId="0BDE426E" w:rsidR="009D3524" w:rsidRDefault="009D3524" w:rsidP="009D3524">
      <w:pPr>
        <w:bidi/>
        <w:jc w:val="both"/>
        <w:rPr>
          <w:rFonts w:ascii="David" w:hAnsi="David" w:cs="David"/>
          <w:sz w:val="28"/>
          <w:szCs w:val="28"/>
          <w:rtl/>
        </w:rPr>
      </w:pPr>
      <w:r>
        <w:rPr>
          <w:rFonts w:ascii="David" w:hAnsi="David" w:cs="David" w:hint="cs"/>
          <w:sz w:val="28"/>
          <w:szCs w:val="28"/>
          <w:rtl/>
        </w:rPr>
        <w:t xml:space="preserve">עי' </w:t>
      </w:r>
      <w:r w:rsidRPr="00DF57A5">
        <w:rPr>
          <w:rFonts w:ascii="David" w:hAnsi="David" w:cs="David" w:hint="cs"/>
          <w:b/>
          <w:bCs/>
          <w:sz w:val="28"/>
          <w:szCs w:val="28"/>
          <w:rtl/>
        </w:rPr>
        <w:t>רבינו בחיי</w:t>
      </w:r>
      <w:r>
        <w:rPr>
          <w:rFonts w:ascii="David" w:hAnsi="David" w:cs="David" w:hint="cs"/>
          <w:sz w:val="28"/>
          <w:szCs w:val="28"/>
          <w:rtl/>
        </w:rPr>
        <w:t xml:space="preserve"> </w:t>
      </w:r>
      <w:r w:rsidRPr="00DF57A5">
        <w:rPr>
          <w:rFonts w:ascii="David" w:hAnsi="David" w:cs="David" w:hint="cs"/>
          <w:sz w:val="24"/>
          <w:szCs w:val="24"/>
          <w:rtl/>
        </w:rPr>
        <w:t xml:space="preserve">(פר' בראשית א, </w:t>
      </w:r>
      <w:r w:rsidRPr="00DF57A5">
        <w:rPr>
          <w:rFonts w:ascii="David" w:hAnsi="David" w:cs="David" w:hint="cs"/>
          <w:rtl/>
        </w:rPr>
        <w:t>ד)</w:t>
      </w:r>
      <w:r w:rsidRPr="00DF57A5">
        <w:rPr>
          <w:rFonts w:ascii="David" w:hAnsi="David" w:cs="David" w:hint="cs"/>
          <w:sz w:val="28"/>
          <w:szCs w:val="28"/>
          <w:rtl/>
        </w:rPr>
        <w:t xml:space="preserve"> </w:t>
      </w:r>
      <w:r>
        <w:rPr>
          <w:rFonts w:ascii="David" w:hAnsi="David" w:cs="David" w:hint="cs"/>
          <w:sz w:val="28"/>
          <w:szCs w:val="28"/>
          <w:rtl/>
        </w:rPr>
        <w:t>שכותב ''</w:t>
      </w:r>
      <w:r w:rsidRPr="00DF57A5">
        <w:rPr>
          <w:rFonts w:ascii="David" w:hAnsi="David" w:cs="David"/>
          <w:sz w:val="28"/>
          <w:szCs w:val="28"/>
          <w:rtl/>
        </w:rPr>
        <w:t xml:space="preserve">ובמדרש: (ב"ר ד, ו) מפני מה לא נאמר כי טוב בשני, לפי שבו נברא גיהנם שנאמר: (ישעיה ל, לג) "כי ערוך מאתמול תפתה", יום שיש לו אתמול ואין לו שלשום, ועוד דרשו ז"ל: (שם) לפי שבו נברא המחלוקת שנאמר ויהי מבדיל בין מים למים. א"ר טביומי ומה מחלוקת שהוא לתקון העולם ולישובו לא כתיב בו "כי טוב", מחלוקת שהיא לערבובו של עולם לא כל שכן. ובאור הענין כי השני תחלת השנוי, ולכך נקרא שני, והוא הסבה לכל חלוקה ושנוי. ומה שאמרו כי המחלוקת וגיהנם נבראו בו ביום, להתבונן מזה שכל המעורר מחלוקת נדון בגיהנם, </w:t>
      </w:r>
      <w:r w:rsidRPr="009D3524">
        <w:rPr>
          <w:rFonts w:ascii="David" w:hAnsi="David" w:cs="David"/>
          <w:sz w:val="28"/>
          <w:szCs w:val="28"/>
          <w:u w:val="single"/>
          <w:rtl/>
        </w:rPr>
        <w:t>וכיון שהמחלוקת וגיהנם נבראו בו ביום למדנו שהוא יום מזיק, ולכך אסרו רז"ל להתחיל כל מלאכה בו,</w:t>
      </w:r>
      <w:r w:rsidRPr="00DF57A5">
        <w:rPr>
          <w:rFonts w:ascii="David" w:hAnsi="David" w:cs="David"/>
          <w:sz w:val="28"/>
          <w:szCs w:val="28"/>
          <w:rtl/>
        </w:rPr>
        <w:t xml:space="preserve"> </w:t>
      </w:r>
      <w:r w:rsidRPr="009D3524">
        <w:rPr>
          <w:rFonts w:ascii="David" w:hAnsi="David" w:cs="David"/>
          <w:sz w:val="28"/>
          <w:szCs w:val="28"/>
          <w:u w:val="single"/>
          <w:rtl/>
        </w:rPr>
        <w:t>ואמרו: (זוהר תצא רפ"א ע"ב) אין מתחילין בשני</w:t>
      </w:r>
      <w:r w:rsidRPr="00DF57A5">
        <w:rPr>
          <w:rFonts w:ascii="David" w:hAnsi="David" w:cs="David"/>
          <w:sz w:val="28"/>
          <w:szCs w:val="28"/>
          <w:rtl/>
        </w:rPr>
        <w:t>, ולכך אסרו ג"כ לאכול זוגות כי הוא דבר מזיק, והוא שאמרו: (פסחים קט ב) לא יאכל אדם תרי ולא ישתה תרי, והמחלוקת הזה שהיה ביום שני היה תחלת כל מחלוקת וסבתה, ולכך לא נאמר בו "כי טוב" שהוא גרם הגורמים אחריו, וממנו והלאה היו החולקים והמשנים רצון השם יתברך, שהרי בשלישי אמר: תוצא הארץ "עץ פרי", והיא לא עשתה כן אלא עץ עושה פרי, וברביעי קטרגה הלבנה ואמרה א"א לשני מלכים שישתמשו בכתר אחד, ובחמישי נמלחה בת זוגו של לויתן, שכן דרשו רז"ל: (ב"ב עד ב) סרס את הזכר והרג את הנקבה ומלחה לצדיקים לעתיד לבא, ובששי חטאו אדם וחוה ונטרדו מגן עדן. וא"כ הרי מצינו בכל הימים אחר יום שני ענין קטרוג ושנוי כונה ופרוד רצון וחלוק דעות בנבראים וסבתם יום שני כי כלם באי כחו ונמשכים אחריו</w:t>
      </w:r>
      <w:r>
        <w:rPr>
          <w:rFonts w:ascii="David" w:hAnsi="David" w:cs="David" w:hint="cs"/>
          <w:sz w:val="28"/>
          <w:szCs w:val="28"/>
          <w:rtl/>
        </w:rPr>
        <w:t>''</w:t>
      </w:r>
      <w:r w:rsidRPr="00DF57A5">
        <w:rPr>
          <w:rFonts w:ascii="David" w:hAnsi="David" w:cs="David"/>
          <w:sz w:val="28"/>
          <w:szCs w:val="28"/>
          <w:rtl/>
        </w:rPr>
        <w:t>.</w:t>
      </w:r>
    </w:p>
    <w:p w14:paraId="5A7782AF" w14:textId="23490CE3" w:rsidR="00ED1E68" w:rsidRDefault="00ED1E68" w:rsidP="00ED1E68">
      <w:pPr>
        <w:bidi/>
        <w:jc w:val="both"/>
        <w:rPr>
          <w:rFonts w:ascii="David" w:hAnsi="David" w:cs="David"/>
          <w:sz w:val="28"/>
          <w:szCs w:val="28"/>
          <w:rtl/>
        </w:rPr>
      </w:pPr>
      <w:bookmarkStart w:id="0" w:name="_Hlk157625176"/>
      <w:r>
        <w:rPr>
          <w:rFonts w:ascii="David" w:hAnsi="David" w:cs="David" w:hint="cs"/>
          <w:sz w:val="28"/>
          <w:szCs w:val="28"/>
          <w:rtl/>
        </w:rPr>
        <w:t xml:space="preserve">איתא </w:t>
      </w:r>
      <w:r w:rsidRPr="00ED1E68">
        <w:rPr>
          <w:rFonts w:ascii="David" w:hAnsi="David" w:cs="David" w:hint="cs"/>
          <w:b/>
          <w:bCs/>
          <w:sz w:val="28"/>
          <w:szCs w:val="28"/>
          <w:rtl/>
        </w:rPr>
        <w:t>בב''ק</w:t>
      </w:r>
      <w:r>
        <w:rPr>
          <w:rFonts w:ascii="David" w:hAnsi="David" w:cs="David" w:hint="cs"/>
          <w:sz w:val="28"/>
          <w:szCs w:val="28"/>
          <w:rtl/>
        </w:rPr>
        <w:t xml:space="preserve"> </w:t>
      </w:r>
      <w:r w:rsidRPr="00ED1E68">
        <w:rPr>
          <w:rFonts w:ascii="David" w:hAnsi="David" w:cs="David" w:hint="cs"/>
          <w:sz w:val="24"/>
          <w:szCs w:val="24"/>
          <w:rtl/>
        </w:rPr>
        <w:t xml:space="preserve">(דף פב.) </w:t>
      </w:r>
      <w:r w:rsidRPr="00ED1E68">
        <w:rPr>
          <w:rFonts w:ascii="David" w:hAnsi="David" w:cs="David" w:hint="cs"/>
          <w:sz w:val="28"/>
          <w:szCs w:val="28"/>
          <w:rtl/>
        </w:rPr>
        <w:t>''</w:t>
      </w:r>
      <w:r w:rsidRPr="00ED1E68">
        <w:rPr>
          <w:rFonts w:ascii="David" w:hAnsi="David" w:cs="David"/>
          <w:sz w:val="28"/>
          <w:szCs w:val="28"/>
          <w:rtl/>
        </w:rPr>
        <w:t>ושיהו קוראין בשני ובחמישי עזרא תיקן והא מעיקרא הוה מיתקנא דתניא וילכו שלשת ימים במדבר ולא מצאו מים דורשי רשומות אמרו אין מים אלא תורה שנאמר הוי כל צמא לכו למים כיון שהלכו שלשת ימים בלא תורה נלאו עמדו נביאים שביניהם ותיקנו להם שיהו קורין בשבת ומפסיקין באחד בשבת וקורין בשני ומפסיקין שלישי ורביעי וקורין בחמישי ומפסיקין ערב שבת כדי שלא ילינו ג' ימים בלא תורה</w:t>
      </w:r>
      <w:r>
        <w:rPr>
          <w:rFonts w:ascii="David" w:hAnsi="David" w:cs="David" w:hint="cs"/>
          <w:sz w:val="28"/>
          <w:szCs w:val="28"/>
          <w:rtl/>
        </w:rPr>
        <w:t>''.</w:t>
      </w:r>
    </w:p>
    <w:p w14:paraId="3FE5F0A2" w14:textId="32A3E660" w:rsidR="00ED1E68" w:rsidRPr="00ED1E68" w:rsidRDefault="00ED1E68" w:rsidP="00ED1E68">
      <w:pPr>
        <w:bidi/>
        <w:jc w:val="both"/>
        <w:rPr>
          <w:rFonts w:ascii="David" w:hAnsi="David" w:cs="David"/>
          <w:sz w:val="28"/>
          <w:szCs w:val="28"/>
        </w:rPr>
      </w:pPr>
      <w:r>
        <w:rPr>
          <w:rFonts w:ascii="David" w:hAnsi="David" w:cs="David" w:hint="cs"/>
          <w:sz w:val="28"/>
          <w:szCs w:val="28"/>
          <w:rtl/>
        </w:rPr>
        <w:t xml:space="preserve">וכותב </w:t>
      </w:r>
      <w:r w:rsidRPr="00ED1E68">
        <w:rPr>
          <w:rFonts w:ascii="David" w:hAnsi="David" w:cs="David" w:hint="cs"/>
          <w:b/>
          <w:bCs/>
          <w:sz w:val="28"/>
          <w:szCs w:val="28"/>
          <w:rtl/>
        </w:rPr>
        <w:t>המהר''ל</w:t>
      </w:r>
      <w:r>
        <w:rPr>
          <w:rFonts w:ascii="David" w:hAnsi="David" w:cs="David" w:hint="cs"/>
          <w:sz w:val="28"/>
          <w:szCs w:val="28"/>
          <w:rtl/>
        </w:rPr>
        <w:t xml:space="preserve"> </w:t>
      </w:r>
      <w:r w:rsidRPr="00ED1E68">
        <w:rPr>
          <w:rFonts w:ascii="David" w:hAnsi="David" w:cs="David" w:hint="cs"/>
          <w:sz w:val="24"/>
          <w:szCs w:val="24"/>
          <w:rtl/>
        </w:rPr>
        <w:t xml:space="preserve">(חידושי אגדות שם) </w:t>
      </w:r>
      <w:r>
        <w:rPr>
          <w:rFonts w:ascii="David" w:hAnsi="David" w:cs="David" w:hint="cs"/>
          <w:sz w:val="28"/>
          <w:szCs w:val="28"/>
          <w:rtl/>
        </w:rPr>
        <w:t>''</w:t>
      </w:r>
      <w:r w:rsidRPr="00ED1E68">
        <w:rPr>
          <w:rFonts w:ascii="David" w:hAnsi="David" w:cs="David"/>
          <w:sz w:val="28"/>
          <w:szCs w:val="28"/>
          <w:rtl/>
        </w:rPr>
        <w:t xml:space="preserve">פרשו </w:t>
      </w:r>
      <w:r w:rsidRPr="00ED1E68">
        <w:rPr>
          <w:rFonts w:ascii="David" w:hAnsi="David" w:cs="David"/>
          <w:b/>
          <w:bCs/>
          <w:sz w:val="28"/>
          <w:szCs w:val="28"/>
          <w:rtl/>
        </w:rPr>
        <w:t>התוס'</w:t>
      </w:r>
      <w:r w:rsidRPr="00ED1E68">
        <w:rPr>
          <w:rFonts w:ascii="David" w:hAnsi="David" w:cs="David"/>
          <w:sz w:val="28"/>
          <w:szCs w:val="28"/>
          <w:rtl/>
        </w:rPr>
        <w:t xml:space="preserve"> לכך תקנו ב' ה' משום שהם ימי רצון כי משה רבינו עליו השלום עלה לקבל לוחות אחרונות בב' וירד ביום ה' ומפני שהם ימי רצון נעני' בו, ומגמרא משמע כי תקנה זאת היה קודם זה דהא קרא וילכו ג' ימים היה קודם זה אבל פי' זה </w:t>
      </w:r>
      <w:r w:rsidRPr="00ED1E68">
        <w:rPr>
          <w:rFonts w:ascii="David" w:hAnsi="David" w:cs="David"/>
          <w:sz w:val="28"/>
          <w:szCs w:val="28"/>
          <w:u w:val="single"/>
          <w:rtl/>
        </w:rPr>
        <w:t>כי יום ב' ויום ה' מיוחדים לדין כי השני מיוחד לדין והחמישי מיוחד לדין</w:t>
      </w:r>
      <w:r w:rsidRPr="00ED1E68">
        <w:rPr>
          <w:rFonts w:ascii="David" w:hAnsi="David" w:cs="David"/>
          <w:sz w:val="28"/>
          <w:szCs w:val="28"/>
          <w:rtl/>
        </w:rPr>
        <w:t xml:space="preserve"> ודבר זה ידוע לחכמי לב ומפני כך אמרו במס' שבת (קכ"ט ב') שאין להקיז בב' ובה' שבו ב"ד של מעלה ומטה יושבים ולפי' התוספת מאי ענין ב"ד של מעלה אל יום ב' ויום ה' </w:t>
      </w:r>
      <w:r w:rsidRPr="00ED1E68">
        <w:rPr>
          <w:rFonts w:ascii="David" w:hAnsi="David" w:cs="David"/>
          <w:sz w:val="28"/>
          <w:szCs w:val="28"/>
          <w:u w:val="single"/>
          <w:rtl/>
        </w:rPr>
        <w:t>אלא כמו שאמרנו ששני ימים אלו מיוחדים לדין ולכך קריאת התורה ותענית ותחתונים ראוים שיהיה ביום ב' וביום ה'</w:t>
      </w:r>
      <w:r w:rsidRPr="00ED1E68">
        <w:rPr>
          <w:rFonts w:ascii="David" w:hAnsi="David" w:cs="David"/>
          <w:sz w:val="28"/>
          <w:szCs w:val="28"/>
          <w:rtl/>
        </w:rPr>
        <w:t xml:space="preserve"> וידוע על פי החכמה כי אלו שני ימים מיוחדים שבהם שולטים שתי מדות שהם דין וזה ידוע ודי בזה</w:t>
      </w:r>
      <w:r>
        <w:rPr>
          <w:rFonts w:ascii="David" w:hAnsi="David" w:cs="David" w:hint="cs"/>
          <w:sz w:val="28"/>
          <w:szCs w:val="28"/>
          <w:rtl/>
        </w:rPr>
        <w:t>''.</w:t>
      </w:r>
    </w:p>
    <w:bookmarkEnd w:id="0"/>
    <w:p w14:paraId="6D4E00F4" w14:textId="77777777" w:rsidR="009D3524" w:rsidRPr="009D3524" w:rsidRDefault="009D3524" w:rsidP="009D3524">
      <w:pPr>
        <w:bidi/>
        <w:jc w:val="both"/>
        <w:rPr>
          <w:rFonts w:ascii="David" w:hAnsi="David" w:cs="David"/>
          <w:sz w:val="28"/>
          <w:szCs w:val="28"/>
        </w:rPr>
      </w:pPr>
    </w:p>
    <w:sectPr w:rsidR="009D3524" w:rsidRPr="009D35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524"/>
    <w:rsid w:val="001D2779"/>
    <w:rsid w:val="009D3524"/>
    <w:rsid w:val="00ED1E6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98DF"/>
  <w15:chartTrackingRefBased/>
  <w15:docId w15:val="{7B857A67-A388-4CA9-A15D-32CC094F1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370</Words>
  <Characters>2036</Characters>
  <Application>Microsoft Office Word</Application>
  <DocSecurity>0</DocSecurity>
  <Lines>16</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2023-03-28T08:22:00Z</dcterms:created>
  <dcterms:modified xsi:type="dcterms:W3CDTF">2024-01-31T18:29:00Z</dcterms:modified>
</cp:coreProperties>
</file>