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8482C" w14:textId="7F88B8B5" w:rsidR="003C6C09" w:rsidRPr="009B1D2B" w:rsidRDefault="009B1D2B" w:rsidP="009B1D2B">
      <w:pPr>
        <w:bidi/>
        <w:ind w:left="1416"/>
        <w:jc w:val="both"/>
        <w:rPr>
          <w:rFonts w:asciiTheme="majorBidi" w:hAnsiTheme="majorBidi" w:cstheme="majorBidi"/>
          <w:sz w:val="40"/>
          <w:szCs w:val="40"/>
          <w:u w:val="single"/>
          <w:rtl/>
        </w:rPr>
      </w:pPr>
      <w:r w:rsidRPr="009B1D2B">
        <w:rPr>
          <w:rFonts w:asciiTheme="majorBidi" w:hAnsiTheme="majorBidi" w:cstheme="majorBidi" w:hint="cs"/>
          <w:sz w:val="40"/>
          <w:szCs w:val="40"/>
          <w:u w:val="single"/>
          <w:rtl/>
        </w:rPr>
        <w:t xml:space="preserve">ימות המשיח </w:t>
      </w:r>
    </w:p>
    <w:p w14:paraId="49E528DA" w14:textId="77777777" w:rsidR="009B1D2B" w:rsidRDefault="009B1D2B" w:rsidP="009B1D2B">
      <w:pPr>
        <w:bidi/>
        <w:jc w:val="both"/>
        <w:rPr>
          <w:rFonts w:asciiTheme="majorBidi" w:hAnsiTheme="majorBidi" w:cstheme="majorBidi"/>
          <w:rtl/>
        </w:rPr>
      </w:pPr>
    </w:p>
    <w:p w14:paraId="46CA0F74" w14:textId="77777777" w:rsidR="009B1D2B" w:rsidRDefault="009B1D2B" w:rsidP="009B1D2B">
      <w:pPr>
        <w:bidi/>
        <w:jc w:val="both"/>
        <w:rPr>
          <w:rFonts w:asciiTheme="majorBidi" w:hAnsiTheme="majorBidi" w:cstheme="majorBidi"/>
          <w:rtl/>
        </w:rPr>
      </w:pPr>
    </w:p>
    <w:p w14:paraId="0F81CFA5" w14:textId="52983158" w:rsidR="009B1D2B" w:rsidRPr="009B1D2B" w:rsidRDefault="009B1D2B" w:rsidP="009B1D2B">
      <w:pPr>
        <w:bidi/>
        <w:jc w:val="both"/>
        <w:rPr>
          <w:rFonts w:asciiTheme="majorBidi" w:hAnsiTheme="majorBidi" w:cstheme="majorBidi"/>
          <w:sz w:val="28"/>
          <w:szCs w:val="28"/>
          <w:rtl/>
        </w:rPr>
      </w:pPr>
      <w:r w:rsidRPr="009B1D2B">
        <w:rPr>
          <w:rFonts w:asciiTheme="majorBidi" w:hAnsiTheme="majorBidi" w:cs="Times New Roman"/>
          <w:sz w:val="28"/>
          <w:szCs w:val="28"/>
          <w:u w:val="single"/>
          <w:rtl/>
        </w:rPr>
        <w:t xml:space="preserve">עניני גלות </w:t>
      </w:r>
      <w:r w:rsidRPr="009B1D2B">
        <w:rPr>
          <w:rFonts w:asciiTheme="majorBidi" w:hAnsiTheme="majorBidi" w:cs="Times New Roman" w:hint="cs"/>
          <w:sz w:val="28"/>
          <w:szCs w:val="28"/>
          <w:u w:val="single"/>
          <w:rtl/>
        </w:rPr>
        <w:t>מצרים</w:t>
      </w:r>
      <w:r w:rsidRPr="009B1D2B">
        <w:rPr>
          <w:rFonts w:asciiTheme="majorBidi" w:hAnsiTheme="majorBidi" w:cs="Times New Roman"/>
          <w:sz w:val="28"/>
          <w:szCs w:val="28"/>
          <w:u w:val="single"/>
          <w:rtl/>
        </w:rPr>
        <w:t xml:space="preserve"> רמז לעניני גלותנו זה האחרון</w:t>
      </w:r>
    </w:p>
    <w:p w14:paraId="62138299" w14:textId="774BABB6" w:rsidR="009B1D2B" w:rsidRPr="009B1D2B" w:rsidRDefault="009B1D2B" w:rsidP="009B1D2B">
      <w:pPr>
        <w:bidi/>
        <w:jc w:val="both"/>
        <w:rPr>
          <w:rFonts w:asciiTheme="majorBidi" w:hAnsiTheme="majorBidi" w:cstheme="majorBidi"/>
          <w:rtl/>
        </w:rPr>
      </w:pPr>
      <w:r>
        <w:rPr>
          <w:rFonts w:asciiTheme="majorBidi" w:hAnsiTheme="majorBidi" w:cs="Times New Roman" w:hint="cs"/>
          <w:rtl/>
        </w:rPr>
        <w:t xml:space="preserve">כותב </w:t>
      </w:r>
      <w:r w:rsidRPr="009B1D2B">
        <w:rPr>
          <w:rFonts w:asciiTheme="majorBidi" w:hAnsiTheme="majorBidi" w:cs="Times New Roman"/>
          <w:b/>
          <w:bCs/>
          <w:rtl/>
        </w:rPr>
        <w:t>רבינו בחיי</w:t>
      </w:r>
      <w:r w:rsidRPr="009B1D2B">
        <w:rPr>
          <w:rFonts w:asciiTheme="majorBidi" w:hAnsiTheme="majorBidi" w:cs="Times New Roman"/>
          <w:rtl/>
        </w:rPr>
        <w:t xml:space="preserve"> </w:t>
      </w:r>
      <w:r w:rsidRPr="009B1D2B">
        <w:rPr>
          <w:rFonts w:asciiTheme="majorBidi" w:hAnsiTheme="majorBidi" w:cs="Times New Roman" w:hint="cs"/>
          <w:sz w:val="20"/>
          <w:szCs w:val="20"/>
          <w:rtl/>
        </w:rPr>
        <w:t xml:space="preserve">(סוף פר' </w:t>
      </w:r>
      <w:r w:rsidRPr="009B1D2B">
        <w:rPr>
          <w:rFonts w:asciiTheme="majorBidi" w:hAnsiTheme="majorBidi" w:cs="Times New Roman"/>
          <w:sz w:val="20"/>
          <w:szCs w:val="20"/>
          <w:rtl/>
        </w:rPr>
        <w:t>שמות פרק ה פסוק כב</w:t>
      </w:r>
      <w:r w:rsidRPr="009B1D2B">
        <w:rPr>
          <w:rFonts w:asciiTheme="majorBidi" w:hAnsiTheme="majorBidi" w:cs="Times New Roman" w:hint="cs"/>
          <w:sz w:val="20"/>
          <w:szCs w:val="20"/>
          <w:rtl/>
        </w:rPr>
        <w:t>)</w:t>
      </w:r>
      <w:r w:rsidRPr="009B1D2B">
        <w:rPr>
          <w:rFonts w:asciiTheme="majorBidi" w:hAnsiTheme="majorBidi" w:cstheme="majorBidi" w:hint="cs"/>
          <w:sz w:val="20"/>
          <w:szCs w:val="20"/>
          <w:rtl/>
        </w:rPr>
        <w:t xml:space="preserve"> </w:t>
      </w:r>
      <w:r>
        <w:rPr>
          <w:rFonts w:asciiTheme="majorBidi" w:hAnsiTheme="majorBidi" w:cs="Times New Roman" w:hint="cs"/>
          <w:rtl/>
        </w:rPr>
        <w:t>''</w:t>
      </w:r>
      <w:r w:rsidRPr="009B1D2B">
        <w:rPr>
          <w:rFonts w:asciiTheme="majorBidi" w:hAnsiTheme="majorBidi" w:cs="Times New Roman"/>
          <w:rtl/>
        </w:rPr>
        <w:t xml:space="preserve">ודע כי </w:t>
      </w:r>
      <w:r w:rsidRPr="009B1D2B">
        <w:rPr>
          <w:rFonts w:asciiTheme="majorBidi" w:hAnsiTheme="majorBidi" w:cs="Times New Roman"/>
          <w:u w:val="single"/>
          <w:rtl/>
        </w:rPr>
        <w:t>עניני הגלות הזה הראשון רמז לעניני גלותנו זה האחרון שאנו עומדים בו</w:t>
      </w:r>
      <w:r w:rsidRPr="009B1D2B">
        <w:rPr>
          <w:rFonts w:asciiTheme="majorBidi" w:hAnsiTheme="majorBidi" w:cs="Times New Roman"/>
          <w:rtl/>
        </w:rPr>
        <w:t xml:space="preserve"> בשעבוד ויסורין ברשות מלכות אדום, ואנו מצפין לישועת הש"י כענין שאמר דוד ע"ה על ענין הזה, "נפשי לה' משומרים לבקר שומרים לבקר" (תהלים קל, ו), ממתינים וחוזרים וממתינים, ואם תתאחר הגאולה לבא הכל להוסיף לנו שכר טוב ולהטיב אותנו באחריתנו, וכדי להוסיף פורענות ועונש לאותם המשתעבדים בנו, וכשם שמצינו שנדחקה להם השעה לישראל במצרים מעת בא הגואל הראשון לפני פרעה, ואמר לו בדבר הש"י "שלח את - עמי ויחוגו לי במדבר", ואחרי זאת כבדה עליהם העבודה ונתעוררה עליהם השנאה ונתוספה ביניהם מאד על מה שהיתה, </w:t>
      </w:r>
      <w:r w:rsidRPr="009B1D2B">
        <w:rPr>
          <w:rFonts w:asciiTheme="majorBidi" w:hAnsiTheme="majorBidi" w:cs="Times New Roman"/>
          <w:u w:val="single"/>
          <w:rtl/>
        </w:rPr>
        <w:t>כן בגאולתנו זאת העתידה בהגלות הגואל האחרון תתעורר השנאה בין העכו"ם לישראל ויוסיפו שעבוד על שעבודם, ויהיה הגואל נגלה וחוזר ונכסה כדי להתעות את העכו"ם ולהקשות את לבם, שכן מצינו בגאולת מצרים שנגלה להם משה וחזר ונכסה מהם</w:t>
      </w:r>
      <w:r w:rsidRPr="009B1D2B">
        <w:rPr>
          <w:rFonts w:asciiTheme="majorBidi" w:hAnsiTheme="majorBidi" w:cs="Times New Roman"/>
          <w:rtl/>
        </w:rPr>
        <w:t xml:space="preserve">, וזהו שדרשו רז"ל: "ויפגעו את משה ואת אהרן" (שמות ה, כ), אחר ששה חדשים נגלה הקדוש ברוך הוא במדין ואמר לו: "לך שוב מצרימה" (שם ד, יט), בא משה ממדין ואהרן ממצרים ופגעו בהם שוטרי ישראל כשהם יוצאים מלפני פרעה. וכן דרשו במדרש חזית: "דומה דודי לצבי" (שה"ש ב, ט), מה צבי זה הוא נראה ונכסה וחוזר ונראה, כך גואל הראשון נראה להם וחזר ונכסה מהם וחזר ונראה להם. וכמה נכסה מהם, רבי תנחומא אומר ג' חדשים הדא הוא דכתיב: "ויפגעו את משה ואת אהרן", רבי יהודה ב"ר אומר לקריסין, כלומר לשון פגיעה לפרקין היא. </w:t>
      </w:r>
      <w:r w:rsidRPr="009B1D2B">
        <w:rPr>
          <w:rFonts w:asciiTheme="majorBidi" w:hAnsiTheme="majorBidi" w:cs="Times New Roman"/>
          <w:u w:val="single"/>
          <w:rtl/>
        </w:rPr>
        <w:t xml:space="preserve">וכן הגואל העתיד יהיה נגלה וחוזר ונכסה, שהרי גאולה זו עתידה להיות כדמיון גאולת מצרים בהרבה ענינים, וכן </w:t>
      </w:r>
      <w:r w:rsidRPr="009B1D2B">
        <w:rPr>
          <w:rFonts w:asciiTheme="majorBidi" w:hAnsiTheme="majorBidi" w:cs="Times New Roman"/>
          <w:u w:val="single"/>
          <w:rtl/>
        </w:rPr>
        <w:lastRenderedPageBreak/>
        <w:t>אמר הנביא: "כימי צאתך מארץ מצרים אראנו נפלאות</w:t>
      </w:r>
      <w:r w:rsidRPr="009B1D2B">
        <w:rPr>
          <w:rFonts w:asciiTheme="majorBidi" w:hAnsiTheme="majorBidi" w:cs="Times New Roman"/>
          <w:rtl/>
        </w:rPr>
        <w:t xml:space="preserve">" (מיכה ז, טו), </w:t>
      </w:r>
      <w:r w:rsidRPr="009B1D2B">
        <w:rPr>
          <w:rFonts w:asciiTheme="majorBidi" w:hAnsiTheme="majorBidi" w:cs="Times New Roman"/>
          <w:u w:val="single"/>
          <w:rtl/>
        </w:rPr>
        <w:t>וכאשר יתקרב הקץ תהיינה צרות רבות ומתחזקות והוא סימן הישועה לישראל. וכן אמרו במדרש: "כי יבא כנהר צר רוח ה' נוססה בו" (ישעיה נט, יט), אם ראית דור שצרות רבות באות עליו כנהר חכה לו</w:t>
      </w:r>
      <w:r w:rsidRPr="009B1D2B">
        <w:rPr>
          <w:rFonts w:asciiTheme="majorBidi" w:hAnsiTheme="majorBidi" w:cs="Times New Roman"/>
          <w:rtl/>
        </w:rPr>
        <w:t>, שנאמר: "כי יבא כנהר צר רוח ה' נוססה בו", וסמיך ליה: "ובא לציון גואל ולשבי פשע ביעקב נאם ה'" (ישעיה נט, כ).</w:t>
      </w:r>
    </w:p>
    <w:sectPr w:rsidR="009B1D2B" w:rsidRPr="009B1D2B" w:rsidSect="009B1D2B">
      <w:pgSz w:w="8391" w:h="11906" w:code="1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D2B"/>
    <w:rsid w:val="003C6C09"/>
    <w:rsid w:val="005D7C52"/>
    <w:rsid w:val="006E1F17"/>
    <w:rsid w:val="009B1D2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9967"/>
  <w15:chartTrackingRefBased/>
  <w15:docId w15:val="{E25B54D8-3416-4128-AEB9-573A3E3C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279</Words>
  <Characters>1535</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2025-01-19T09:27:00Z</dcterms:created>
  <dcterms:modified xsi:type="dcterms:W3CDTF">2025-01-19T09:31:00Z</dcterms:modified>
</cp:coreProperties>
</file>