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7FA28" w14:textId="7E7E5067" w:rsidR="001D2779" w:rsidRPr="007127E4" w:rsidRDefault="0030641F" w:rsidP="00C95C46">
      <w:pPr>
        <w:bidi/>
        <w:ind w:left="3540"/>
        <w:jc w:val="both"/>
        <w:rPr>
          <w:rFonts w:ascii="David" w:hAnsi="David" w:cs="David"/>
          <w:sz w:val="56"/>
          <w:szCs w:val="56"/>
          <w:u w:val="single"/>
          <w:rtl/>
        </w:rPr>
      </w:pPr>
      <w:r w:rsidRPr="007127E4">
        <w:rPr>
          <w:rFonts w:ascii="David" w:hAnsi="David" w:cs="David"/>
          <w:sz w:val="56"/>
          <w:szCs w:val="56"/>
          <w:u w:val="single"/>
          <w:rtl/>
        </w:rPr>
        <w:t>כלל ויחיד</w:t>
      </w:r>
    </w:p>
    <w:p w14:paraId="4EDF6DA3" w14:textId="6C7DE78B" w:rsidR="0030641F" w:rsidRPr="007127E4" w:rsidRDefault="0030641F" w:rsidP="0030641F">
      <w:pPr>
        <w:bidi/>
        <w:jc w:val="both"/>
        <w:rPr>
          <w:rFonts w:ascii="David" w:hAnsi="David" w:cs="David"/>
          <w:sz w:val="28"/>
          <w:szCs w:val="28"/>
          <w:rtl/>
        </w:rPr>
      </w:pPr>
    </w:p>
    <w:p w14:paraId="3528BDD4" w14:textId="77072B14" w:rsidR="0030641F" w:rsidRPr="007127E4" w:rsidRDefault="0030641F" w:rsidP="0030641F">
      <w:pPr>
        <w:bidi/>
        <w:jc w:val="both"/>
        <w:rPr>
          <w:rFonts w:ascii="David" w:hAnsi="David" w:cs="David"/>
          <w:sz w:val="28"/>
          <w:szCs w:val="28"/>
          <w:rtl/>
        </w:rPr>
      </w:pPr>
    </w:p>
    <w:p w14:paraId="690C9FE4" w14:textId="786CADAE" w:rsidR="0030641F" w:rsidRPr="007127E4" w:rsidRDefault="0030641F" w:rsidP="0030641F">
      <w:pPr>
        <w:bidi/>
        <w:jc w:val="both"/>
        <w:rPr>
          <w:rFonts w:ascii="David" w:hAnsi="David" w:cs="David"/>
          <w:sz w:val="28"/>
          <w:szCs w:val="28"/>
          <w:rtl/>
        </w:rPr>
      </w:pPr>
      <w:r w:rsidRPr="007127E4">
        <w:rPr>
          <w:rFonts w:ascii="David" w:hAnsi="David" w:cs="David"/>
          <w:sz w:val="28"/>
          <w:szCs w:val="28"/>
          <w:rtl/>
        </w:rPr>
        <w:t>והנה בכמה דברים חלוקים לחלוטין דין יחיד מדין רבים, והביא כאן מה שחנני ה':</w:t>
      </w:r>
    </w:p>
    <w:p w14:paraId="7C4FE79D" w14:textId="4402048F" w:rsidR="005D6C38" w:rsidRPr="007127E4" w:rsidRDefault="005D6C38" w:rsidP="005D6C38">
      <w:pPr>
        <w:pStyle w:val="Paragraphedeliste"/>
        <w:numPr>
          <w:ilvl w:val="0"/>
          <w:numId w:val="1"/>
        </w:numPr>
        <w:bidi/>
        <w:jc w:val="both"/>
        <w:rPr>
          <w:rFonts w:ascii="David" w:hAnsi="David" w:cs="David"/>
          <w:sz w:val="28"/>
          <w:szCs w:val="28"/>
          <w:rtl/>
        </w:rPr>
      </w:pPr>
      <w:r w:rsidRPr="007127E4">
        <w:rPr>
          <w:rFonts w:ascii="David" w:hAnsi="David" w:cs="David"/>
          <w:sz w:val="28"/>
          <w:szCs w:val="28"/>
          <w:rtl/>
        </w:rPr>
        <w:t xml:space="preserve">עי' </w:t>
      </w:r>
      <w:r w:rsidRPr="007127E4">
        <w:rPr>
          <w:rFonts w:ascii="David" w:hAnsi="David" w:cs="David"/>
          <w:b/>
          <w:bCs/>
          <w:sz w:val="28"/>
          <w:szCs w:val="28"/>
          <w:rtl/>
        </w:rPr>
        <w:t>בקובץ מאמרים</w:t>
      </w:r>
      <w:r w:rsidR="008A726D" w:rsidRPr="007127E4">
        <w:rPr>
          <w:rFonts w:ascii="David" w:hAnsi="David" w:cs="David"/>
          <w:b/>
          <w:bCs/>
          <w:sz w:val="28"/>
          <w:szCs w:val="28"/>
          <w:rtl/>
        </w:rPr>
        <w:t xml:space="preserve"> </w:t>
      </w:r>
      <w:r w:rsidRPr="007127E4">
        <w:rPr>
          <w:rFonts w:ascii="David" w:hAnsi="David" w:cs="David"/>
          <w:sz w:val="24"/>
          <w:szCs w:val="24"/>
          <w:rtl/>
        </w:rPr>
        <w:t xml:space="preserve">(עמ' לו 'מזל לישראל') </w:t>
      </w:r>
      <w:r w:rsidRPr="007127E4">
        <w:rPr>
          <w:rFonts w:ascii="David" w:hAnsi="David" w:cs="David"/>
          <w:sz w:val="28"/>
          <w:szCs w:val="28"/>
          <w:rtl/>
        </w:rPr>
        <w:t xml:space="preserve">שמביא בשם </w:t>
      </w:r>
      <w:r w:rsidRPr="007127E4">
        <w:rPr>
          <w:rFonts w:ascii="David" w:hAnsi="David" w:cs="David"/>
          <w:b/>
          <w:bCs/>
          <w:sz w:val="28"/>
          <w:szCs w:val="28"/>
          <w:rtl/>
        </w:rPr>
        <w:t>הגר''א</w:t>
      </w:r>
      <w:r w:rsidR="008A726D" w:rsidRPr="007127E4">
        <w:rPr>
          <w:rFonts w:ascii="David" w:hAnsi="David" w:cs="David"/>
          <w:b/>
          <w:bCs/>
          <w:sz w:val="28"/>
          <w:szCs w:val="28"/>
          <w:rtl/>
        </w:rPr>
        <w:t xml:space="preserve"> </w:t>
      </w:r>
      <w:r w:rsidRPr="007127E4">
        <w:rPr>
          <w:rFonts w:ascii="David" w:hAnsi="David" w:cs="David"/>
          <w:sz w:val="24"/>
          <w:szCs w:val="24"/>
          <w:rtl/>
        </w:rPr>
        <w:t xml:space="preserve">(ליקוטים סוף פרק אבן שלמה) </w:t>
      </w:r>
      <w:r w:rsidRPr="007127E4">
        <w:rPr>
          <w:rFonts w:ascii="David" w:hAnsi="David" w:cs="David"/>
          <w:sz w:val="28"/>
          <w:szCs w:val="28"/>
          <w:rtl/>
        </w:rPr>
        <w:t xml:space="preserve">שיש מזל כללי [על עיר או אומה] ויש מזל פרטי [על כל אחד ואחד] ואם במזל כללי אמור למות ובמזל פרטי אמור לחיות, המזל כללי נוצח על מזל פרטי [ובזה מיישב למה אותן שחוזרים מעורכי המלחמה ניצולים בכך, הרי אם נגזר עליהם שימותו בביתם לא יועיל מה שחוזרים בביתם כי ימותו גם שם ולהאמור הנ''ל אתי שפיר </w:t>
      </w:r>
      <w:r w:rsidR="00C95C46" w:rsidRPr="007127E4">
        <w:rPr>
          <w:rFonts w:ascii="David" w:hAnsi="David" w:cs="David"/>
          <w:sz w:val="28"/>
          <w:szCs w:val="28"/>
          <w:rtl/>
        </w:rPr>
        <w:t>דיכול להיות שבמזל פרטי אמור לחיות אבל במזל כללי אמור למות לכן חוזר</w:t>
      </w:r>
      <w:r w:rsidR="0014751F">
        <w:rPr>
          <w:rStyle w:val="Appelnotedebasdep"/>
          <w:rFonts w:ascii="David" w:hAnsi="David" w:cs="David"/>
          <w:sz w:val="28"/>
          <w:szCs w:val="28"/>
          <w:rtl/>
        </w:rPr>
        <w:footnoteReference w:id="1"/>
      </w:r>
      <w:r w:rsidRPr="007127E4">
        <w:rPr>
          <w:rFonts w:ascii="David" w:hAnsi="David" w:cs="David"/>
          <w:sz w:val="28"/>
          <w:szCs w:val="28"/>
          <w:rtl/>
        </w:rPr>
        <w:t>]</w:t>
      </w:r>
      <w:r w:rsidR="00C95C46" w:rsidRPr="007127E4">
        <w:rPr>
          <w:rFonts w:ascii="David" w:hAnsi="David" w:cs="David"/>
          <w:sz w:val="28"/>
          <w:szCs w:val="28"/>
          <w:rtl/>
        </w:rPr>
        <w:t xml:space="preserve"> ועי' </w:t>
      </w:r>
      <w:r w:rsidR="00C95C46" w:rsidRPr="007127E4">
        <w:rPr>
          <w:rFonts w:ascii="David" w:hAnsi="David" w:cs="David"/>
          <w:b/>
          <w:bCs/>
          <w:sz w:val="28"/>
          <w:szCs w:val="28"/>
          <w:rtl/>
        </w:rPr>
        <w:t>בשיחות מוסר</w:t>
      </w:r>
      <w:r w:rsidR="008A726D" w:rsidRPr="007127E4">
        <w:rPr>
          <w:rFonts w:ascii="David" w:hAnsi="David" w:cs="David"/>
          <w:b/>
          <w:bCs/>
          <w:sz w:val="28"/>
          <w:szCs w:val="28"/>
          <w:rtl/>
        </w:rPr>
        <w:t xml:space="preserve"> </w:t>
      </w:r>
      <w:r w:rsidR="00C95C46" w:rsidRPr="007127E4">
        <w:rPr>
          <w:rFonts w:ascii="David" w:hAnsi="David" w:cs="David"/>
          <w:sz w:val="24"/>
          <w:szCs w:val="24"/>
          <w:rtl/>
        </w:rPr>
        <w:t xml:space="preserve">(מאמר עא) </w:t>
      </w:r>
      <w:r w:rsidR="00C95C46" w:rsidRPr="007127E4">
        <w:rPr>
          <w:rFonts w:ascii="David" w:hAnsi="David" w:cs="David"/>
          <w:sz w:val="28"/>
          <w:szCs w:val="28"/>
          <w:rtl/>
        </w:rPr>
        <w:t>שמביא ג''כ היסוד הזה עם כמה ראיות</w:t>
      </w:r>
      <w:r w:rsidRPr="007127E4">
        <w:rPr>
          <w:rFonts w:ascii="David" w:hAnsi="David" w:cs="David"/>
          <w:sz w:val="28"/>
          <w:szCs w:val="28"/>
          <w:rtl/>
        </w:rPr>
        <w:t>.</w:t>
      </w:r>
    </w:p>
    <w:p w14:paraId="0A43F8F3" w14:textId="787CE48D" w:rsidR="0030641F" w:rsidRDefault="0030641F" w:rsidP="0030641F">
      <w:pPr>
        <w:pStyle w:val="Paragraphedeliste"/>
        <w:numPr>
          <w:ilvl w:val="0"/>
          <w:numId w:val="1"/>
        </w:numPr>
        <w:bidi/>
        <w:jc w:val="both"/>
        <w:rPr>
          <w:rFonts w:ascii="David" w:hAnsi="David" w:cs="David"/>
          <w:sz w:val="28"/>
          <w:szCs w:val="28"/>
        </w:rPr>
      </w:pPr>
      <w:r w:rsidRPr="007127E4">
        <w:rPr>
          <w:rFonts w:ascii="David" w:hAnsi="David" w:cs="David"/>
          <w:sz w:val="28"/>
          <w:szCs w:val="28"/>
          <w:rtl/>
        </w:rPr>
        <w:t xml:space="preserve">עי' </w:t>
      </w:r>
      <w:r w:rsidRPr="007127E4">
        <w:rPr>
          <w:rFonts w:ascii="David" w:hAnsi="David" w:cs="David"/>
          <w:b/>
          <w:bCs/>
          <w:sz w:val="28"/>
          <w:szCs w:val="28"/>
          <w:rtl/>
        </w:rPr>
        <w:t>קובץ מאמרים</w:t>
      </w:r>
      <w:r w:rsidR="008A726D" w:rsidRPr="007127E4">
        <w:rPr>
          <w:rFonts w:ascii="David" w:hAnsi="David" w:cs="David"/>
          <w:b/>
          <w:bCs/>
          <w:sz w:val="28"/>
          <w:szCs w:val="28"/>
          <w:rtl/>
        </w:rPr>
        <w:t xml:space="preserve"> </w:t>
      </w:r>
      <w:r w:rsidRPr="007127E4">
        <w:rPr>
          <w:rFonts w:ascii="David" w:hAnsi="David" w:cs="David"/>
          <w:sz w:val="24"/>
          <w:szCs w:val="24"/>
          <w:rtl/>
        </w:rPr>
        <w:t xml:space="preserve">(עמ' לט 'שכר מצוה') </w:t>
      </w:r>
      <w:r w:rsidRPr="007127E4">
        <w:rPr>
          <w:rFonts w:ascii="David" w:hAnsi="David" w:cs="David"/>
          <w:sz w:val="28"/>
          <w:szCs w:val="28"/>
          <w:rtl/>
        </w:rPr>
        <w:t xml:space="preserve">מביא </w:t>
      </w:r>
      <w:r w:rsidRPr="002C0AD4">
        <w:rPr>
          <w:rFonts w:ascii="David" w:hAnsi="David" w:cs="David"/>
          <w:sz w:val="28"/>
          <w:szCs w:val="28"/>
          <w:u w:val="single"/>
          <w:rtl/>
        </w:rPr>
        <w:t>שכל הברכות והקללות האמורים בתורה הם אמורים רק כלפי הרבים: אם עושים מצוות יש להם  כל טובי עולם הזה ואם לאו יש להם יסורים, משא''כ כלפי יחיד מצינו צדיק ורע לו</w:t>
      </w:r>
      <w:r w:rsidRPr="007127E4">
        <w:rPr>
          <w:rFonts w:ascii="David" w:hAnsi="David" w:cs="David"/>
          <w:sz w:val="28"/>
          <w:szCs w:val="28"/>
          <w:rtl/>
        </w:rPr>
        <w:t xml:space="preserve"> </w:t>
      </w:r>
      <w:r w:rsidR="000A61F6" w:rsidRPr="007127E4">
        <w:rPr>
          <w:rFonts w:ascii="David" w:hAnsi="David" w:cs="David"/>
          <w:sz w:val="28"/>
          <w:szCs w:val="28"/>
          <w:rtl/>
        </w:rPr>
        <w:t xml:space="preserve">[וה' יתן לו גמולו בעולם הבא] </w:t>
      </w:r>
      <w:r w:rsidRPr="007127E4">
        <w:rPr>
          <w:rFonts w:ascii="David" w:hAnsi="David" w:cs="David"/>
          <w:sz w:val="28"/>
          <w:szCs w:val="28"/>
          <w:rtl/>
        </w:rPr>
        <w:t>רשע וטוב לו</w:t>
      </w:r>
      <w:r w:rsidR="000A61F6" w:rsidRPr="007127E4">
        <w:rPr>
          <w:rFonts w:ascii="David" w:hAnsi="David" w:cs="David"/>
          <w:sz w:val="28"/>
          <w:szCs w:val="28"/>
          <w:rtl/>
        </w:rPr>
        <w:t xml:space="preserve"> [וה' יתן לו גמולו בעולם הבא</w:t>
      </w:r>
      <w:r w:rsidR="000A61F6" w:rsidRPr="007127E4">
        <w:rPr>
          <w:rStyle w:val="Appelnotedebasdep"/>
          <w:rFonts w:ascii="David" w:hAnsi="David" w:cs="David"/>
          <w:sz w:val="28"/>
          <w:szCs w:val="28"/>
          <w:rtl/>
        </w:rPr>
        <w:footnoteReference w:id="2"/>
      </w:r>
      <w:r w:rsidR="000A61F6" w:rsidRPr="007127E4">
        <w:rPr>
          <w:rFonts w:ascii="David" w:hAnsi="David" w:cs="David"/>
          <w:sz w:val="28"/>
          <w:szCs w:val="28"/>
          <w:rtl/>
        </w:rPr>
        <w:t>]</w:t>
      </w:r>
      <w:r w:rsidRPr="007127E4">
        <w:rPr>
          <w:rFonts w:ascii="David" w:hAnsi="David" w:cs="David"/>
          <w:sz w:val="28"/>
          <w:szCs w:val="28"/>
          <w:rtl/>
        </w:rPr>
        <w:t xml:space="preserve">, וכן כל מה שכתוב 'פוקד עון אבות..על רבעים' זה רק כלפי יחיד משא''כ כלפי ציבור </w:t>
      </w:r>
      <w:r w:rsidR="000A61F6" w:rsidRPr="007127E4">
        <w:rPr>
          <w:rFonts w:ascii="David" w:hAnsi="David" w:cs="David"/>
          <w:sz w:val="28"/>
          <w:szCs w:val="28"/>
          <w:rtl/>
        </w:rPr>
        <w:t>ה' יכול להעניש לעולם, ובזה מתרץ כמה שאלות עי''ש.</w:t>
      </w:r>
    </w:p>
    <w:p w14:paraId="6A58FAF8" w14:textId="2CC27AEF" w:rsidR="007127E4" w:rsidRDefault="007127E4" w:rsidP="007127E4">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עי' </w:t>
      </w:r>
      <w:r w:rsidRPr="007127E4">
        <w:rPr>
          <w:rFonts w:ascii="David" w:hAnsi="David" w:cs="David" w:hint="cs"/>
          <w:b/>
          <w:bCs/>
          <w:sz w:val="28"/>
          <w:szCs w:val="28"/>
          <w:rtl/>
        </w:rPr>
        <w:t>המהרש''א</w:t>
      </w:r>
      <w:r>
        <w:rPr>
          <w:rFonts w:ascii="David" w:hAnsi="David" w:cs="David" w:hint="cs"/>
          <w:sz w:val="28"/>
          <w:szCs w:val="28"/>
          <w:rtl/>
        </w:rPr>
        <w:t xml:space="preserve"> </w:t>
      </w:r>
      <w:r w:rsidRPr="007127E4">
        <w:rPr>
          <w:rFonts w:ascii="David" w:hAnsi="David" w:cs="David" w:hint="cs"/>
          <w:sz w:val="24"/>
          <w:szCs w:val="24"/>
          <w:rtl/>
        </w:rPr>
        <w:t xml:space="preserve">(ד''ה שכר מצוה) </w:t>
      </w:r>
      <w:r w:rsidRPr="007127E4">
        <w:rPr>
          <w:rFonts w:ascii="David" w:hAnsi="David" w:cs="David" w:hint="cs"/>
          <w:b/>
          <w:bCs/>
          <w:sz w:val="28"/>
          <w:szCs w:val="28"/>
          <w:rtl/>
        </w:rPr>
        <w:t>בקידושין</w:t>
      </w:r>
      <w:r>
        <w:rPr>
          <w:rFonts w:ascii="David" w:hAnsi="David" w:cs="David" w:hint="cs"/>
          <w:sz w:val="28"/>
          <w:szCs w:val="28"/>
          <w:rtl/>
        </w:rPr>
        <w:t xml:space="preserve"> </w:t>
      </w:r>
      <w:r w:rsidRPr="007127E4">
        <w:rPr>
          <w:rFonts w:ascii="David" w:hAnsi="David" w:cs="David" w:hint="cs"/>
          <w:sz w:val="24"/>
          <w:szCs w:val="24"/>
          <w:rtl/>
        </w:rPr>
        <w:t xml:space="preserve">(דף לט:) </w:t>
      </w:r>
      <w:r>
        <w:rPr>
          <w:rFonts w:ascii="David" w:hAnsi="David" w:cs="David" w:hint="cs"/>
          <w:sz w:val="28"/>
          <w:szCs w:val="28"/>
          <w:rtl/>
        </w:rPr>
        <w:t xml:space="preserve">לגבי מה </w:t>
      </w:r>
      <w:r w:rsidRPr="007127E4">
        <w:rPr>
          <w:rFonts w:ascii="David" w:hAnsi="David" w:cs="David" w:hint="cs"/>
          <w:b/>
          <w:bCs/>
          <w:sz w:val="28"/>
          <w:szCs w:val="28"/>
          <w:rtl/>
        </w:rPr>
        <w:t>שר' יעקב</w:t>
      </w:r>
      <w:r>
        <w:rPr>
          <w:rFonts w:ascii="David" w:hAnsi="David" w:cs="David" w:hint="cs"/>
          <w:sz w:val="28"/>
          <w:szCs w:val="28"/>
          <w:rtl/>
        </w:rPr>
        <w:t xml:space="preserve"> אומר ששכר מצוה בהאי עלמא ליכא וז''ל ''</w:t>
      </w:r>
      <w:r w:rsidRPr="007127E4">
        <w:rPr>
          <w:rFonts w:ascii="David" w:hAnsi="David" w:cs="David"/>
          <w:sz w:val="28"/>
          <w:szCs w:val="28"/>
          <w:rtl/>
        </w:rPr>
        <w:t>ולא תקשי לך מכל היעודים שבתורה דא"א לפרש רק בעוה"ז שאם תשמעו יבואו עליכם כל הברכות והטובות וישבו על אדמתם ובהיפך אם לא תשמעו יבואו כל הקללות ואבדתם מן הארץ די"ל לרבי יעקב דמודה דזכות הרבים ומעשיהם הטובים מביאים להם כל הברכות והטובות שנזכרו בתורה גם בעוה"ז וכן בהיפך בחטא הרבים אבל ר"י לא אמר כן אלא ביחיד שמרובה בזכיות אין שכרו רק לעוה"ב דבעוה"ז מריעין לו כדי לזכותו בעוה"ב וכן בהיפך במרובה עונות מטיבין לו בעוה"ז כדי לטורדו בעוה"ב וכענין זה אמרו אין בידינו לא מיסורי צדיקים ולא משלות רשעים</w:t>
      </w:r>
      <w:r>
        <w:rPr>
          <w:rFonts w:ascii="David" w:hAnsi="David" w:cs="David" w:hint="cs"/>
          <w:sz w:val="28"/>
          <w:szCs w:val="28"/>
          <w:rtl/>
        </w:rPr>
        <w:t>''.</w:t>
      </w:r>
    </w:p>
    <w:p w14:paraId="3BF8F2FF" w14:textId="588EFB39" w:rsidR="005B7301" w:rsidRDefault="006163E2" w:rsidP="005B7301">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עי' </w:t>
      </w:r>
      <w:r w:rsidRPr="005B7301">
        <w:rPr>
          <w:rFonts w:ascii="David" w:hAnsi="David" w:cs="David" w:hint="cs"/>
          <w:b/>
          <w:bCs/>
          <w:sz w:val="28"/>
          <w:szCs w:val="28"/>
          <w:rtl/>
        </w:rPr>
        <w:t>מהר''ל</w:t>
      </w:r>
      <w:r>
        <w:rPr>
          <w:rFonts w:ascii="David" w:hAnsi="David" w:cs="David" w:hint="cs"/>
          <w:sz w:val="28"/>
          <w:szCs w:val="28"/>
          <w:rtl/>
        </w:rPr>
        <w:t xml:space="preserve"> </w:t>
      </w:r>
      <w:r w:rsidR="005B7301" w:rsidRPr="005B7301">
        <w:rPr>
          <w:rFonts w:ascii="David" w:hAnsi="David" w:cs="David" w:hint="cs"/>
          <w:sz w:val="24"/>
          <w:szCs w:val="24"/>
          <w:rtl/>
        </w:rPr>
        <w:t>(</w:t>
      </w:r>
      <w:r w:rsidRPr="005B7301">
        <w:rPr>
          <w:rFonts w:ascii="David" w:hAnsi="David" w:cs="David" w:hint="cs"/>
          <w:sz w:val="24"/>
          <w:szCs w:val="24"/>
          <w:rtl/>
        </w:rPr>
        <w:t>חידושי אגדות</w:t>
      </w:r>
      <w:r w:rsidR="005B7301" w:rsidRPr="005B7301">
        <w:rPr>
          <w:rFonts w:ascii="David" w:hAnsi="David" w:cs="David" w:hint="cs"/>
          <w:sz w:val="24"/>
          <w:szCs w:val="24"/>
          <w:rtl/>
        </w:rPr>
        <w:t>)</w:t>
      </w:r>
      <w:r w:rsidRPr="005B7301">
        <w:rPr>
          <w:rFonts w:ascii="David" w:hAnsi="David" w:cs="David" w:hint="cs"/>
          <w:sz w:val="24"/>
          <w:szCs w:val="24"/>
          <w:rtl/>
        </w:rPr>
        <w:t xml:space="preserve"> </w:t>
      </w:r>
      <w:r>
        <w:rPr>
          <w:rFonts w:ascii="David" w:hAnsi="David" w:cs="David" w:hint="cs"/>
          <w:sz w:val="28"/>
          <w:szCs w:val="28"/>
          <w:rtl/>
        </w:rPr>
        <w:t xml:space="preserve">על </w:t>
      </w:r>
      <w:r w:rsidRPr="005B7301">
        <w:rPr>
          <w:rFonts w:ascii="David" w:hAnsi="David" w:cs="David" w:hint="cs"/>
          <w:b/>
          <w:bCs/>
          <w:sz w:val="28"/>
          <w:szCs w:val="28"/>
          <w:rtl/>
        </w:rPr>
        <w:t>סוטה</w:t>
      </w:r>
      <w:r>
        <w:rPr>
          <w:rFonts w:ascii="David" w:hAnsi="David" w:cs="David" w:hint="cs"/>
          <w:sz w:val="28"/>
          <w:szCs w:val="28"/>
          <w:rtl/>
        </w:rPr>
        <w:t xml:space="preserve"> </w:t>
      </w:r>
      <w:r w:rsidRPr="005B7301">
        <w:rPr>
          <w:rFonts w:ascii="David" w:hAnsi="David" w:cs="David" w:hint="cs"/>
          <w:sz w:val="24"/>
          <w:szCs w:val="24"/>
          <w:rtl/>
        </w:rPr>
        <w:t xml:space="preserve">(דף מה:) </w:t>
      </w:r>
      <w:r>
        <w:rPr>
          <w:rFonts w:ascii="David" w:hAnsi="David" w:cs="David" w:hint="cs"/>
          <w:sz w:val="28"/>
          <w:szCs w:val="28"/>
          <w:rtl/>
        </w:rPr>
        <w:t xml:space="preserve">על מה שהגמ' אומרת </w:t>
      </w:r>
      <w:r w:rsidRPr="006163E2">
        <w:rPr>
          <w:rFonts w:ascii="David" w:hAnsi="David" w:cs="David"/>
          <w:sz w:val="28"/>
          <w:szCs w:val="28"/>
          <w:rtl/>
        </w:rPr>
        <w:t xml:space="preserve">ואומרים </w:t>
      </w:r>
      <w:r>
        <w:rPr>
          <w:rFonts w:ascii="David" w:hAnsi="David" w:cs="David" w:hint="cs"/>
          <w:sz w:val="28"/>
          <w:szCs w:val="28"/>
          <w:rtl/>
        </w:rPr>
        <w:t>''</w:t>
      </w:r>
      <w:r w:rsidRPr="006163E2">
        <w:rPr>
          <w:rFonts w:ascii="David" w:hAnsi="David" w:cs="David"/>
          <w:sz w:val="28"/>
          <w:szCs w:val="28"/>
          <w:rtl/>
        </w:rPr>
        <w:t>ידינו לא שפכה את הדם הזה ועינינו לא ראו וכי על דעתינו עלתה שזקני ב''ד שופכי דמים הן אלא שלא בא על ידינו ופטרנוהו (בלא מזון) ולא ראינוהו והנחנוהו (בלא לוייה)</w:t>
      </w:r>
      <w:r>
        <w:rPr>
          <w:rFonts w:ascii="David" w:hAnsi="David" w:cs="David" w:hint="cs"/>
          <w:sz w:val="28"/>
          <w:szCs w:val="28"/>
          <w:rtl/>
        </w:rPr>
        <w:t xml:space="preserve">'', ושואל </w:t>
      </w:r>
      <w:r w:rsidR="00C71E67">
        <w:rPr>
          <w:rFonts w:ascii="David" w:hAnsi="David" w:cs="David" w:hint="cs"/>
          <w:sz w:val="28"/>
          <w:szCs w:val="28"/>
          <w:rtl/>
        </w:rPr>
        <w:t xml:space="preserve">ברמיזה </w:t>
      </w:r>
      <w:r>
        <w:rPr>
          <w:rFonts w:ascii="David" w:hAnsi="David" w:cs="David" w:hint="cs"/>
          <w:sz w:val="28"/>
          <w:szCs w:val="28"/>
          <w:rtl/>
        </w:rPr>
        <w:t xml:space="preserve">הרי גם אם ליוו אותו הרי ההריגה לא </w:t>
      </w:r>
      <w:r w:rsidR="00C71E67">
        <w:rPr>
          <w:rFonts w:ascii="David" w:hAnsi="David" w:cs="David" w:hint="cs"/>
          <w:sz w:val="28"/>
          <w:szCs w:val="28"/>
          <w:rtl/>
        </w:rPr>
        <w:t>היתה סמוך לעיר אז למה הם צריכים לומר שלא הניחו אותו בלא לוויה, ומתרץ וז''ל ''</w:t>
      </w:r>
      <w:r w:rsidR="00C71E67" w:rsidRPr="00C71E67">
        <w:rPr>
          <w:rFonts w:ascii="David" w:hAnsi="David" w:cs="David"/>
          <w:sz w:val="28"/>
          <w:szCs w:val="28"/>
          <w:rtl/>
        </w:rPr>
        <w:t xml:space="preserve">פי' זה, כי כח האדם הוא יותר כאשר הוא תוך כלל בני אדם שאז יש לו כח הרבים, וכאשר האדם הוא יחידי נפרד יש לו כח פרטי ואז פגעים פוגעים בו, ולכך כאשר מלוין אותו כאשר נפרד מן הבריות ואין מניחין אותו לצאת עד שעור מיל, או מה שהוא הלויה, שאי אפשר להם להיות תמיד עמו וצריכי' להיות בביתם, וזה מורה כי [אינו פרטי רק הרבים] מתחברים אליו, ואז יש לו חבור ודבוק למעלה ג"כ עד שגם העליונים גם הש"י מתלוים אליו בדרך, ואם מניחין אותו לצאת יחידי הרי נחשב יחיד וכאלו אין לו שם בכלל הבריות, ואז פגעים שולטים עליו. ולכך אמרו בסמוך שכל אשר מלוין אותו אינו ניזוק, שהרי הלויה מורה שהוא תוך הכלל, וכאשר הוא תוך הכלל אף העליונים מתלוים אליו עד שאינו ניזוק כאשר הוא תוך הכלל, אבל אם אין מלוין אותו כאלו שופכין דמים, כי האמת הוא </w:t>
      </w:r>
      <w:r w:rsidR="00C71E67" w:rsidRPr="00C71E67">
        <w:rPr>
          <w:rFonts w:ascii="David" w:hAnsi="David" w:cs="David"/>
          <w:sz w:val="28"/>
          <w:szCs w:val="28"/>
          <w:rtl/>
        </w:rPr>
        <w:lastRenderedPageBreak/>
        <w:t>שהרי כל אדם תוך הכלל, וכאשר מניחין אותו לצאת ואין מלוין אותו, הרי נוטלים ממנו כחו אשר יש לו לכל אדם, ולפיכך נחשב דבר זה כאלו שופכי דמים, ולכך אמר ידינו לא שפכה את הדם הזה ועינינו לא ראו לא בא לידינו ולא פטרנוהו בלא מזונות ולא ראינוהו ולא פטרנוהו בלא לויה, כי כל אשר הניחוהו ולא השגיחו עליו כאלו אין לו חלק בכלל, והרי מוציאין אותו מן הכלל בני אדם, ודבר זה נקרא שפיכת דמים כאשר היו מבטלים כחו ואתרע מזליה</w:t>
      </w:r>
      <w:r w:rsidR="005B7301">
        <w:rPr>
          <w:rFonts w:ascii="David" w:hAnsi="David" w:cs="David" w:hint="cs"/>
          <w:sz w:val="28"/>
          <w:szCs w:val="28"/>
          <w:rtl/>
        </w:rPr>
        <w:t>.</w:t>
      </w:r>
      <w:r w:rsidR="00C71E67">
        <w:rPr>
          <w:rFonts w:ascii="David" w:hAnsi="David" w:cs="David" w:hint="cs"/>
          <w:sz w:val="28"/>
          <w:szCs w:val="28"/>
          <w:rtl/>
        </w:rPr>
        <w:t>''</w:t>
      </w:r>
    </w:p>
    <w:p w14:paraId="671D2716" w14:textId="10309204" w:rsidR="00C71E67" w:rsidRPr="005B7301" w:rsidRDefault="005B7301" w:rsidP="005B7301">
      <w:pPr>
        <w:pStyle w:val="Paragraphedeliste"/>
        <w:bidi/>
        <w:jc w:val="both"/>
        <w:rPr>
          <w:rFonts w:ascii="David" w:hAnsi="David" w:cs="David"/>
          <w:sz w:val="28"/>
          <w:szCs w:val="28"/>
        </w:rPr>
      </w:pPr>
      <w:r>
        <w:rPr>
          <w:rFonts w:ascii="David" w:hAnsi="David" w:cs="David" w:hint="cs"/>
          <w:sz w:val="28"/>
          <w:szCs w:val="28"/>
          <w:rtl/>
        </w:rPr>
        <w:t>ו</w:t>
      </w:r>
      <w:r w:rsidR="00C71E67">
        <w:rPr>
          <w:rFonts w:ascii="David" w:hAnsi="David" w:cs="David" w:hint="cs"/>
          <w:sz w:val="28"/>
          <w:szCs w:val="28"/>
          <w:rtl/>
        </w:rPr>
        <w:t xml:space="preserve">כעין זה כתב </w:t>
      </w:r>
      <w:r w:rsidR="00C71E67" w:rsidRPr="005B7301">
        <w:rPr>
          <w:rFonts w:ascii="David" w:hAnsi="David" w:cs="David" w:hint="cs"/>
          <w:b/>
          <w:bCs/>
          <w:sz w:val="28"/>
          <w:szCs w:val="28"/>
          <w:rtl/>
        </w:rPr>
        <w:t>בנתיבות עולם</w:t>
      </w:r>
      <w:r w:rsidR="00C71E67">
        <w:rPr>
          <w:rFonts w:ascii="David" w:hAnsi="David" w:cs="David" w:hint="cs"/>
          <w:sz w:val="28"/>
          <w:szCs w:val="28"/>
          <w:rtl/>
        </w:rPr>
        <w:t xml:space="preserve"> </w:t>
      </w:r>
      <w:r w:rsidR="00C71E67" w:rsidRPr="005B7301">
        <w:rPr>
          <w:rFonts w:ascii="David" w:hAnsi="David" w:cs="David" w:hint="cs"/>
          <w:sz w:val="24"/>
          <w:szCs w:val="24"/>
          <w:rtl/>
        </w:rPr>
        <w:t xml:space="preserve">(נתיב גמ''ח פ''ה בהתחלה) </w:t>
      </w:r>
      <w:r w:rsidR="00C71E67">
        <w:rPr>
          <w:rFonts w:ascii="David" w:hAnsi="David" w:cs="David" w:hint="cs"/>
          <w:sz w:val="28"/>
          <w:szCs w:val="28"/>
          <w:rtl/>
        </w:rPr>
        <w:t>וז''ל ''</w:t>
      </w:r>
      <w:r w:rsidR="00C71E67" w:rsidRPr="005B7301">
        <w:rPr>
          <w:rFonts w:ascii="David" w:hAnsi="David" w:cs="David"/>
          <w:sz w:val="28"/>
          <w:szCs w:val="28"/>
          <w:rtl/>
        </w:rPr>
        <w:t xml:space="preserve">מצות הלויה הוא ג"כ מן גמילות חסדים. בפרק עגלה ערופה (סוטה מ"ו, ב') זקני אותה העיר רוחצין את ידיהם במים על מקום עריפתה של עגלה ואומרין ידינו לא שפכו את הדם הזה ועינינו לא ראו וכי עלתה על לבנו שזקני בית דין שופכי דמים הם אלא לא בא לידינו ופטרנוהו ולא ראינהו והנחנוהו, תנא לא בא לידינו ופטרנוהו בלא מזונות ולא ראינהו ופטרונהו בלא לויה, כהנים אומרים כפר לעמך ישראל אשר פדית ה' וגו' ונכפר להם הדם שאין ת"ל ונכפר להם הדם ומה ת"ל ונכפר להם הדם אלא רוח הקודש מבשרתן אימתי שתעשו כך נכפר להם הדם. פירוש זה כי הישוב הוא לאדם שנאמר (תלים קט"ו) והארץ נתן לבני אדם, וכל אשר נתן לאדם אין מושלים כ"כ אשר הם מחריבים ומפסידים הישוב כמו גזלנים ולסטים ורוחות רעות וכל המזיקים אינם מושלים שם. והיינו דאמרינן שם רב כהנא אלויה לרב שימי בר אשי מפום נהרא עד בי צינייתא דבבל כי מטו התם אמר ליה ודאי דאמריתו הני צינייתא דבבל איתנהו משני אדם הראשון ועד השתא א"ל אדכרתן מלתא דרבי יוסי ברבי חנינא מאי דכתיב ארץ לא עבר בה איש ולא ישב אדם שם וכי מאחר דלא עבר היכן ישב ומאחר שלא ישב היכן עבר אלא לומר לך ארץ שגזר עליה אדם הראשון לישוב נתיישבה ארץ שלא גזר עליה אדם הראשון לישוב לא נתיישבה. ומה ענין זה אל מה שהיה מלוה אותו, אבל כיון שהמצוה של לויה מפני כי כל היוצא מן הישוב שם שולטים המזיקים לאדם ולכך אמר בודאי דאמריתו כי הני צנייתא דבבל מימות אדם הראשון, כלו' כי יש מקומות מסוגלים לישוב יותר מן מקומות אחרים, עד כי הני צינייתא דבבל מימות אדם הראשון הם ראוי' לישוב. והיה מרמז לו כאשר הגיעו לצינייתא דבבל, ששם אין צריך לויה כ"כ ומשם היה חוזר למקומו, אבל אותם מקומות שאינם מסוגלים לישוב ואין ישוב בני אדם שם צריך בהם לויה ושמירה יותר. והשיב לו כי אדם הראשון אשר ממנו יצאו כלל בני אדם, והוא נחשב כמו כלל בני אדם שהרי שמו היה אדם ועליו נאמר השמים שמים לה' והארץ נתן לבני אדם, ולפיכך כל ארץ שגזר עליה לישוב נתישבה. ופי' הגזירה הזאת אינה גזירה בדבור כי למה יגזור על זה ולא יגזור על זה, אלא שהישוב הוא לפי ענין האדם. כי תמצא באדם יש אבר שהוא עיקר האדם כמו הראש, וכנגד זה הוא בארץ גם כן מקום שהוא ראש ומעולה מן כל הארץ והוא ארץ ישראל, וכן יש אבר שהוא אינו חשוב כ"כ וכך הוא בארץ, שעל זה נאמר כל ארץ שגזר עליו אדם הראשון להתיישב נתיישב כי הישוב הוא לפי האדם. וכן אמרו בפרק אחד דיני ממונות (סנהדרין ל"ח, ב') אדם הראשון נברא ראשו מא"י שנק' ראש עפרות תבל, ויש דבר באדם שאינו נחשב כלל וכנגד זה יש בארץ שהוא אינו ישוב כלל. ולפיכך הנהו צינייתא הם מימות אדם הראשון, ר"ל שגם הם מן גזירות אדם הראשון ששייך אליו הישוב וצינייתא דבבל שם שולט האדם כמו שבארנו. והנה מפני זה צריך האדם אל לויה כאשר הולך במקום שלא גזר עליו אדם הראשון לישוב ואין האדם שולט שם והאדם הוא יחידי והוא נבדל מן הישוב אשר שם כח האדם וצריך לויה, אף על גב שלא התלוה עמו כל הדרך סוף סוף היה לו לויה בדרך הזה שהוא הולך עליו ואין מושלים בו הדברים אשר מושלים בדרך שאינו מן הישוב כאשר יש לו לויה. ועוד זה האדם נברא בצלמו של אלהים, וכאשר האדם יש בו צלם אלהים אז נאמר ורדו בכל חית הארץ והכל יראים מלפניו אף המזיקים אינם מושלים בו, וכן כתיב (בראשית ט') ומוראכם וחתכם יהיה על כל חית הארץ, ומזה למדו (שבת קנ"א, ב') תינוק בן יומו חי אין צריך לשמור אותו מן העכברים עוג מלך הבשן כשמת צריך לשמור אותו, והכל הוא בשביל </w:t>
      </w:r>
      <w:r w:rsidR="00C71E67" w:rsidRPr="005B7301">
        <w:rPr>
          <w:rFonts w:ascii="David" w:hAnsi="David" w:cs="David"/>
          <w:sz w:val="28"/>
          <w:szCs w:val="28"/>
          <w:rtl/>
        </w:rPr>
        <w:lastRenderedPageBreak/>
        <w:t xml:space="preserve">צלם האלהים הזה שיש באדם שראוי לכבוד. ולפיכך כאשר יוצא לדרך ובני אדם מלוין אותו בדרך שהוא הולך עליו, דנותנין אל צלמו כבוד שאין מניחין אותו שיצא בלבדו וזהו שנותנין לו לויה בדרך ולכך נשאר הכבוד בדרך הזה, ואם אין מלוים כאלו שופכי דמים, פירוש שנוטלים ממנו צלמו אשר האדם נברא בצלם אלהים, ובבטול הצלם זה עצמו שפיכות דם לגמרי שהרי יש בטול אל הצלם הזה וכתיב (שם) שופך דם האדם באדם דמו ישפך כי בצלם אלהים עשה את האדם, הרי לך כי עיקר שפיכות דם הוא בשביל שמבטל צלם האלהים שיש לאדם, ומי שאינו מלוה את האדם ואין נוהג בו כבוד ומניח אותו לצאת יחידי הרי מבטל את כבוד הצלם הזה שהאדם צריך לזה בדרך: </w:t>
      </w:r>
    </w:p>
    <w:p w14:paraId="4021CEBC" w14:textId="0FCD2391" w:rsidR="00EA47A3" w:rsidRPr="00EA47A3" w:rsidRDefault="00C71E67" w:rsidP="00EA47A3">
      <w:pPr>
        <w:pStyle w:val="Paragraphedeliste"/>
        <w:bidi/>
        <w:jc w:val="both"/>
        <w:rPr>
          <w:rFonts w:ascii="David" w:hAnsi="David" w:cs="David"/>
          <w:sz w:val="28"/>
          <w:szCs w:val="28"/>
          <w:rtl/>
        </w:rPr>
      </w:pPr>
      <w:r w:rsidRPr="00C71E67">
        <w:rPr>
          <w:rFonts w:ascii="David" w:hAnsi="David" w:cs="David"/>
          <w:sz w:val="28"/>
          <w:szCs w:val="28"/>
          <w:rtl/>
        </w:rPr>
        <w:t>והיינו דאמרינן שם כי לכל אחד יש לויה מיוחדת לפי כבודו. אמר ר' יהודה אמר רב כל המלוה את חבירו בעיר ארבע אמות אינו ניזוק רבינא אלויה לרבא בר יצחק ארבע אמות בעיר מטא לידיה הזיקא והיה ניצול. תנו רבנן הרב עד עיבורה של עיר חבר לחבר עד תחום שבת תלמיד לרב אין לו שעור וכמה אמר רב ששת עד פרסה, ולא אמרן אלא ברבו שאינו מובהק אבל ברבו מובהק עד שלש פרסאות עד כאן. וכל זה כי יש לו לנהוג כבוד באדם שהוא בצלם אלהים ודרך שהולך עליו כפי מה שראוי ואז הוא ניצול. ואמר שם תניא היה רבי מאיר אומר כופין ללויה ששכר לויה אין לה שיעור דכתיב ויראו השומרים איש יוצא מן העיר ויאמרו לו הראנו נא את מבוא העיר ועשינו עמך חסד ואמת וכתיב ויראם את מבוא העיר ומה חסד עשו עמו שכל אותה העיר הרגו לפי חרב ואת האיש ואת משפחתו שלחו שנא' וילך האיש ארץ החתים ויבן עיר ויקרא שמה לוז. כי הלויה זאת גורם לו לאדם שמירה עליונה מן הש"י, שהאדם מפני שהוא יחידי וצריך הוא אל שמירה מלמעלה ועל ידי שהוא מלוה אותו נכנס בשמירה עליונה ומתדבק למעלה עד שמגיע השמירה אל הש"י ואין קץ וסוף לשמירה זאת. ולפיכך אמר שאין קץ אל שכר לויה, שכשם שעל ידי הלויה גורם אליו שיכנס האדם תחת שמירת הש"י אשר הוא גבוה על גבוה והוא שומר אותו עד אין קץ וסוף כך לשכר שלו אין קץ וסוף. ודבר זה מופלג ועמוק בחכמה מאוד מאוד, כי החסד שעושה בעל הלויה מתעלה החסד הזה בימינו של הקדוש ברוך הוא אשר שם השמירה והלויה וזה מתעלה עד אין קץ וסוף, ואם אין מלוה אותו כאלו שופך דמים דבר זה התבאר למעלה, ומפני כך כופין על לויה שאין ראוי להניח את האדם יחידי שהוא כאלו שופך דמים ודבר זה מבואר</w:t>
      </w:r>
      <w:r w:rsidR="00EA47A3">
        <w:rPr>
          <w:rFonts w:ascii="David" w:hAnsi="David" w:cs="David" w:hint="cs"/>
          <w:sz w:val="28"/>
          <w:szCs w:val="28"/>
          <w:rtl/>
        </w:rPr>
        <w:t>''.</w:t>
      </w:r>
      <w:bookmarkStart w:id="0" w:name="_Hlk136768406"/>
    </w:p>
    <w:bookmarkEnd w:id="0"/>
    <w:p w14:paraId="1072A86B" w14:textId="5D027B5E" w:rsidR="00EA47A3" w:rsidRPr="00EA47A3" w:rsidRDefault="00EA47A3" w:rsidP="00EA47A3">
      <w:pPr>
        <w:pStyle w:val="Paragraphedeliste"/>
        <w:numPr>
          <w:ilvl w:val="0"/>
          <w:numId w:val="1"/>
        </w:numPr>
        <w:bidi/>
        <w:jc w:val="both"/>
        <w:rPr>
          <w:rFonts w:ascii="David" w:hAnsi="David" w:cs="David"/>
          <w:sz w:val="28"/>
          <w:szCs w:val="28"/>
          <w:rtl/>
        </w:rPr>
      </w:pPr>
      <w:r>
        <w:rPr>
          <w:rFonts w:ascii="David" w:hAnsi="David" w:cs="David" w:hint="cs"/>
          <w:sz w:val="28"/>
          <w:szCs w:val="28"/>
          <w:rtl/>
        </w:rPr>
        <w:t xml:space="preserve">ועי' </w:t>
      </w:r>
      <w:r w:rsidRPr="00EA47A3">
        <w:rPr>
          <w:rFonts w:ascii="David" w:hAnsi="David" w:cs="David" w:hint="cs"/>
          <w:b/>
          <w:bCs/>
          <w:sz w:val="28"/>
          <w:szCs w:val="28"/>
          <w:rtl/>
        </w:rPr>
        <w:t>המהר''ל</w:t>
      </w:r>
      <w:r>
        <w:rPr>
          <w:rFonts w:ascii="David" w:hAnsi="David" w:cs="David" w:hint="cs"/>
          <w:sz w:val="28"/>
          <w:szCs w:val="28"/>
          <w:rtl/>
        </w:rPr>
        <w:t xml:space="preserve"> </w:t>
      </w:r>
      <w:r w:rsidRPr="00EA47A3">
        <w:rPr>
          <w:rFonts w:ascii="David" w:hAnsi="David" w:cs="David" w:hint="cs"/>
          <w:sz w:val="24"/>
          <w:szCs w:val="24"/>
          <w:rtl/>
        </w:rPr>
        <w:t xml:space="preserve">(בספרו </w:t>
      </w:r>
      <w:r w:rsidRPr="00EA47A3">
        <w:rPr>
          <w:rFonts w:ascii="David" w:hAnsi="David" w:cs="David"/>
          <w:sz w:val="24"/>
          <w:szCs w:val="24"/>
          <w:rtl/>
        </w:rPr>
        <w:t>דרך חיים</w:t>
      </w:r>
      <w:r w:rsidRPr="00EA47A3">
        <w:rPr>
          <w:rFonts w:ascii="David" w:hAnsi="David" w:cs="David" w:hint="cs"/>
          <w:sz w:val="24"/>
          <w:szCs w:val="24"/>
          <w:rtl/>
        </w:rPr>
        <w:t>)</w:t>
      </w:r>
      <w:r w:rsidRPr="00EA47A3">
        <w:rPr>
          <w:rFonts w:ascii="David" w:hAnsi="David" w:cs="David"/>
          <w:sz w:val="24"/>
          <w:szCs w:val="24"/>
          <w:rtl/>
        </w:rPr>
        <w:t xml:space="preserve"> </w:t>
      </w:r>
      <w:r w:rsidRPr="00EA47A3">
        <w:rPr>
          <w:rFonts w:ascii="David" w:hAnsi="David" w:cs="David"/>
          <w:sz w:val="28"/>
          <w:szCs w:val="28"/>
          <w:rtl/>
        </w:rPr>
        <w:t xml:space="preserve">על </w:t>
      </w:r>
      <w:r w:rsidRPr="00EA47A3">
        <w:rPr>
          <w:rFonts w:ascii="David" w:hAnsi="David" w:cs="David"/>
          <w:b/>
          <w:bCs/>
          <w:sz w:val="28"/>
          <w:szCs w:val="28"/>
          <w:rtl/>
        </w:rPr>
        <w:t>אבות</w:t>
      </w:r>
      <w:r w:rsidRPr="00EA47A3">
        <w:rPr>
          <w:rFonts w:ascii="David" w:hAnsi="David" w:cs="David"/>
          <w:sz w:val="28"/>
          <w:szCs w:val="28"/>
          <w:rtl/>
        </w:rPr>
        <w:t xml:space="preserve"> </w:t>
      </w:r>
      <w:r w:rsidRPr="00EA47A3">
        <w:rPr>
          <w:rFonts w:ascii="David" w:hAnsi="David" w:cs="David" w:hint="cs"/>
          <w:sz w:val="24"/>
          <w:szCs w:val="24"/>
          <w:rtl/>
        </w:rPr>
        <w:t>(</w:t>
      </w:r>
      <w:r w:rsidRPr="00EA47A3">
        <w:rPr>
          <w:rFonts w:ascii="David" w:hAnsi="David" w:cs="David"/>
          <w:sz w:val="24"/>
          <w:szCs w:val="24"/>
          <w:rtl/>
        </w:rPr>
        <w:t>פרק א משנה י</w:t>
      </w:r>
      <w:r w:rsidRPr="00EA47A3">
        <w:rPr>
          <w:rFonts w:ascii="David" w:hAnsi="David" w:cs="David" w:hint="cs"/>
          <w:sz w:val="24"/>
          <w:szCs w:val="24"/>
          <w:rtl/>
        </w:rPr>
        <w:t xml:space="preserve">) </w:t>
      </w:r>
      <w:r>
        <w:rPr>
          <w:rFonts w:ascii="David" w:hAnsi="David" w:cs="David" w:hint="cs"/>
          <w:sz w:val="28"/>
          <w:szCs w:val="28"/>
          <w:rtl/>
        </w:rPr>
        <w:t>שכותב ''</w:t>
      </w:r>
      <w:r w:rsidRPr="00EA47A3">
        <w:rPr>
          <w:rFonts w:ascii="David" w:hAnsi="David" w:cs="David"/>
          <w:sz w:val="28"/>
          <w:szCs w:val="28"/>
          <w:rtl/>
        </w:rPr>
        <w:t>ואלו בשררה הפך זה שאמרו (פסחים פ"ז ע"ב) אוי לרבנות שקוברת את בעליה שאין לך נביא שלא קפח ד' מלכים בימיו, ויותר מזה אמרו בפ"ק דסוטה (י"ג ע"ב) אמר ר' יוחנן למה מת יוסף קודם אחיו מפני שהנהיג עצמו ברבנות, והרי לך כי השררה הפך זה שהוא מקצר מציאותו בעוה"ז. ומה שבעל השררה הוא מקצר ימיו בארנו זה במקומו, כי בעל השררה הוא מיוחד לעצמו כאשר מנהיג עצמו ברבנות ובשררה ובזה נבדל מן הכלל עד שהוא נחשב יחידי ופרטי בעצמו, כמו שהתבאר כי בעל השררה מיוחד לעצמו שמפני זה אמרו אל תתודע לרשות שאין מקרבין את האדם רק בשביל הנאתן, ודבר זה ידוע כי היחידי והפרטי אין כחו כמו מי שהוא הכלל, שאין ספק כי המים אשר הם תוך הנהר יש להם קיום יותר מן המים המיוחדים ובעל השררה הוא מיוחד בעצמו שאינו תוך הכלל של שאר הבריות, ולפיכך אמרו אוי לרבנות שקוברת את בעליה. והוא דבר מבואר, כי כח הכללי בודאי יותר מקוים, כמו שתראה שהכללים הם מקוימים וכל אשר הוא יש לו כח הכללי יש לו קיום ולפיכך אמר אהוב את המלאכה ושנא את הרבנות. ואמר אל תתודע לרשות, כי המלאכה שלימות האדם כמו שבארנו והרבנות אף שיש בה מצד מה שלימות שנא אותה כי יצא שכרו בהפסדו וכמו שבארנו</w:t>
      </w:r>
      <w:r>
        <w:rPr>
          <w:rFonts w:ascii="David" w:hAnsi="David" w:cs="David" w:hint="cs"/>
          <w:sz w:val="28"/>
          <w:szCs w:val="28"/>
          <w:rtl/>
        </w:rPr>
        <w:t>..''.</w:t>
      </w:r>
      <w:r w:rsidRPr="00EA47A3">
        <w:rPr>
          <w:rFonts w:ascii="David" w:hAnsi="David" w:cs="David"/>
          <w:sz w:val="28"/>
          <w:szCs w:val="28"/>
          <w:rtl/>
        </w:rPr>
        <w:t xml:space="preserve"> </w:t>
      </w:r>
    </w:p>
    <w:p w14:paraId="13BC6212" w14:textId="164E6798" w:rsidR="002C0AD4" w:rsidRDefault="002C0AD4" w:rsidP="002C0AD4">
      <w:pPr>
        <w:pStyle w:val="Paragraphedeliste"/>
        <w:numPr>
          <w:ilvl w:val="0"/>
          <w:numId w:val="1"/>
        </w:numPr>
        <w:bidi/>
        <w:jc w:val="both"/>
        <w:rPr>
          <w:rFonts w:ascii="David" w:hAnsi="David" w:cs="David"/>
          <w:sz w:val="28"/>
          <w:szCs w:val="28"/>
        </w:rPr>
      </w:pPr>
      <w:r>
        <w:rPr>
          <w:rFonts w:ascii="David" w:hAnsi="David" w:cs="David" w:hint="cs"/>
          <w:sz w:val="28"/>
          <w:szCs w:val="28"/>
          <w:rtl/>
        </w:rPr>
        <w:t xml:space="preserve">איתא </w:t>
      </w:r>
      <w:r w:rsidRPr="002C0AD4">
        <w:rPr>
          <w:rFonts w:ascii="David" w:hAnsi="David" w:cs="David" w:hint="cs"/>
          <w:b/>
          <w:bCs/>
          <w:sz w:val="28"/>
          <w:szCs w:val="28"/>
          <w:rtl/>
        </w:rPr>
        <w:t>בשבת</w:t>
      </w:r>
      <w:r>
        <w:rPr>
          <w:rFonts w:ascii="David" w:hAnsi="David" w:cs="David" w:hint="cs"/>
          <w:sz w:val="28"/>
          <w:szCs w:val="28"/>
          <w:rtl/>
        </w:rPr>
        <w:t xml:space="preserve"> </w:t>
      </w:r>
      <w:r w:rsidRPr="002C0AD4">
        <w:rPr>
          <w:rFonts w:ascii="David" w:hAnsi="David" w:cs="David" w:hint="cs"/>
          <w:sz w:val="24"/>
          <w:szCs w:val="24"/>
          <w:rtl/>
        </w:rPr>
        <w:t xml:space="preserve">(דף קנו.) </w:t>
      </w:r>
      <w:r>
        <w:rPr>
          <w:rFonts w:ascii="David" w:hAnsi="David" w:cs="David" w:hint="cs"/>
          <w:sz w:val="28"/>
          <w:szCs w:val="28"/>
          <w:rtl/>
        </w:rPr>
        <w:t>''</w:t>
      </w:r>
      <w:r w:rsidRPr="002C0AD4">
        <w:rPr>
          <w:rFonts w:ascii="David" w:hAnsi="David" w:cs="David"/>
          <w:sz w:val="28"/>
          <w:szCs w:val="28"/>
          <w:rtl/>
        </w:rPr>
        <w:t xml:space="preserve">איתמר </w:t>
      </w:r>
      <w:r w:rsidRPr="002C0AD4">
        <w:rPr>
          <w:rFonts w:ascii="David" w:hAnsi="David" w:cs="David"/>
          <w:b/>
          <w:bCs/>
          <w:sz w:val="28"/>
          <w:szCs w:val="28"/>
          <w:rtl/>
        </w:rPr>
        <w:t>רבי חנינא</w:t>
      </w:r>
      <w:r w:rsidRPr="002C0AD4">
        <w:rPr>
          <w:rFonts w:ascii="David" w:hAnsi="David" w:cs="David"/>
          <w:sz w:val="28"/>
          <w:szCs w:val="28"/>
          <w:rtl/>
        </w:rPr>
        <w:t xml:space="preserve"> אומר מזל מחכים מזל מעשיר ויש מזל לישראל </w:t>
      </w:r>
      <w:r w:rsidRPr="002C0AD4">
        <w:rPr>
          <w:rFonts w:ascii="David" w:hAnsi="David" w:cs="David"/>
          <w:b/>
          <w:bCs/>
          <w:sz w:val="28"/>
          <w:szCs w:val="28"/>
          <w:rtl/>
        </w:rPr>
        <w:t>רבי יוחנן</w:t>
      </w:r>
      <w:r w:rsidRPr="002C0AD4">
        <w:rPr>
          <w:rFonts w:ascii="David" w:hAnsi="David" w:cs="David"/>
          <w:sz w:val="28"/>
          <w:szCs w:val="28"/>
          <w:rtl/>
        </w:rPr>
        <w:t xml:space="preserve"> אמר אין מזל לישראל</w:t>
      </w:r>
      <w:r>
        <w:rPr>
          <w:rFonts w:ascii="David" w:hAnsi="David" w:cs="David" w:hint="cs"/>
          <w:sz w:val="28"/>
          <w:szCs w:val="28"/>
          <w:rtl/>
        </w:rPr>
        <w:t>''.</w:t>
      </w:r>
    </w:p>
    <w:p w14:paraId="396D750C" w14:textId="3F5E1BA8" w:rsidR="00EA47A3" w:rsidRDefault="002C0AD4" w:rsidP="002C0AD4">
      <w:pPr>
        <w:pStyle w:val="Paragraphedeliste"/>
        <w:bidi/>
        <w:jc w:val="both"/>
        <w:rPr>
          <w:rFonts w:ascii="David" w:hAnsi="David" w:cs="David"/>
          <w:sz w:val="28"/>
          <w:szCs w:val="28"/>
        </w:rPr>
      </w:pPr>
      <w:r>
        <w:rPr>
          <w:rFonts w:ascii="David" w:hAnsi="David" w:cs="David" w:hint="cs"/>
          <w:sz w:val="28"/>
          <w:szCs w:val="28"/>
          <w:rtl/>
        </w:rPr>
        <w:lastRenderedPageBreak/>
        <w:t xml:space="preserve">וכתבו </w:t>
      </w:r>
      <w:r w:rsidRPr="002C0AD4">
        <w:rPr>
          <w:rFonts w:ascii="David" w:hAnsi="David" w:cs="David" w:hint="cs"/>
          <w:b/>
          <w:bCs/>
          <w:sz w:val="28"/>
          <w:szCs w:val="28"/>
          <w:rtl/>
        </w:rPr>
        <w:t>התוס'</w:t>
      </w:r>
      <w:r>
        <w:rPr>
          <w:rFonts w:ascii="David" w:hAnsi="David" w:cs="David" w:hint="cs"/>
          <w:sz w:val="28"/>
          <w:szCs w:val="28"/>
          <w:rtl/>
        </w:rPr>
        <w:t xml:space="preserve"> </w:t>
      </w:r>
      <w:r w:rsidRPr="002C0AD4">
        <w:rPr>
          <w:rFonts w:ascii="David" w:hAnsi="David" w:cs="David" w:hint="cs"/>
          <w:sz w:val="28"/>
          <w:szCs w:val="28"/>
          <w:rtl/>
        </w:rPr>
        <w:t>''</w:t>
      </w:r>
      <w:r w:rsidRPr="002C0AD4">
        <w:rPr>
          <w:rFonts w:ascii="David" w:hAnsi="David" w:cs="David"/>
          <w:sz w:val="28"/>
          <w:szCs w:val="28"/>
          <w:rtl/>
        </w:rPr>
        <w:t xml:space="preserve">אין מזל לישראל. והא דאמר </w:t>
      </w:r>
      <w:r w:rsidRPr="002C0AD4">
        <w:rPr>
          <w:rFonts w:ascii="David" w:hAnsi="David" w:cs="David"/>
          <w:b/>
          <w:bCs/>
          <w:sz w:val="28"/>
          <w:szCs w:val="28"/>
          <w:rtl/>
        </w:rPr>
        <w:t>רבא</w:t>
      </w:r>
      <w:r w:rsidRPr="002C0AD4">
        <w:rPr>
          <w:rFonts w:ascii="David" w:hAnsi="David" w:cs="David"/>
          <w:sz w:val="28"/>
          <w:szCs w:val="28"/>
          <w:rtl/>
        </w:rPr>
        <w:t xml:space="preserve"> בשילהי מו''ק (דף כח. ושם) בני חיי ומזוני לאו בזכותא תליא מילתא אלא במזלא תליא מילתא מכל מקום על ידי זכות גדול משתנה אבל פעמים שאין המזל משתנה כדאמר ביבמות פרק החולץ (דף נ. ושם) זכה מוסיפין לו לא זכה פוחתין לו</w:t>
      </w:r>
      <w:r>
        <w:rPr>
          <w:rFonts w:ascii="David" w:hAnsi="David" w:cs="David" w:hint="cs"/>
          <w:sz w:val="28"/>
          <w:szCs w:val="28"/>
          <w:rtl/>
        </w:rPr>
        <w:t>''.</w:t>
      </w:r>
    </w:p>
    <w:p w14:paraId="76ACA2F7" w14:textId="5A0F7CF7" w:rsidR="002C0AD4" w:rsidRPr="002C0AD4" w:rsidRDefault="002C0AD4" w:rsidP="002C0AD4">
      <w:pPr>
        <w:pStyle w:val="Paragraphedeliste"/>
        <w:bidi/>
        <w:jc w:val="both"/>
        <w:rPr>
          <w:rFonts w:ascii="David" w:hAnsi="David" w:cs="David"/>
          <w:sz w:val="28"/>
          <w:szCs w:val="28"/>
          <w:rtl/>
        </w:rPr>
      </w:pPr>
      <w:r>
        <w:rPr>
          <w:rFonts w:ascii="David" w:hAnsi="David" w:cs="David" w:hint="cs"/>
          <w:sz w:val="28"/>
          <w:szCs w:val="28"/>
          <w:rtl/>
        </w:rPr>
        <w:t xml:space="preserve">וכותב </w:t>
      </w:r>
      <w:r w:rsidRPr="002C0AD4">
        <w:rPr>
          <w:rFonts w:ascii="David" w:hAnsi="David" w:cs="David" w:hint="cs"/>
          <w:b/>
          <w:bCs/>
          <w:sz w:val="28"/>
          <w:szCs w:val="28"/>
          <w:rtl/>
        </w:rPr>
        <w:t>המהרש''א</w:t>
      </w:r>
      <w:r>
        <w:rPr>
          <w:rFonts w:ascii="David" w:hAnsi="David" w:cs="David" w:hint="cs"/>
          <w:sz w:val="28"/>
          <w:szCs w:val="28"/>
          <w:rtl/>
        </w:rPr>
        <w:t xml:space="preserve"> ''</w:t>
      </w:r>
      <w:r w:rsidRPr="002C0AD4">
        <w:rPr>
          <w:rFonts w:ascii="David" w:hAnsi="David" w:cs="David"/>
          <w:sz w:val="28"/>
          <w:szCs w:val="28"/>
          <w:rtl/>
        </w:rPr>
        <w:t xml:space="preserve">כתבו </w:t>
      </w:r>
      <w:r w:rsidRPr="002C0AD4">
        <w:rPr>
          <w:rFonts w:ascii="David" w:hAnsi="David" w:cs="David"/>
          <w:b/>
          <w:bCs/>
          <w:sz w:val="28"/>
          <w:szCs w:val="28"/>
          <w:rtl/>
        </w:rPr>
        <w:t>התוס'</w:t>
      </w:r>
      <w:r w:rsidRPr="002C0AD4">
        <w:rPr>
          <w:rFonts w:ascii="David" w:hAnsi="David" w:cs="David"/>
          <w:sz w:val="28"/>
          <w:szCs w:val="28"/>
          <w:rtl/>
        </w:rPr>
        <w:t xml:space="preserve"> והא כו' בני חיי ומזוני כו' אלא במזלא כו' מ"מ ע"י זכות גדול משתנה כו' עכ"ל וק"ק דא"כ לר' חנינא דאמר יש מזל לישראל אפי' ע"י זכות גדול לא משתנה וכל יעודי התורה בברכות אם תשמעו ובקללות אם לא תשמעו אין מורין כן אלא שתולה בזכות ישראל או בחובתם וי"ל </w:t>
      </w:r>
      <w:r w:rsidRPr="002C0AD4">
        <w:rPr>
          <w:rFonts w:ascii="David" w:hAnsi="David" w:cs="David"/>
          <w:sz w:val="28"/>
          <w:szCs w:val="28"/>
          <w:u w:val="single"/>
          <w:rtl/>
        </w:rPr>
        <w:t>דודאי יעודי התורה נאמרו על כלל ישראל וזכות הרבים ודאי דאינו תולה במזל כלל ולא פליגי הכא אלא ביחיד דלר"ח מזל מחכים מזל מעשיר לאותו יחיד ור"י אמר דאין מזל לישראל אפי' ליחיד</w:t>
      </w:r>
      <w:r w:rsidRPr="002C0AD4">
        <w:rPr>
          <w:rFonts w:ascii="David" w:hAnsi="David" w:cs="David"/>
          <w:sz w:val="28"/>
          <w:szCs w:val="28"/>
          <w:rtl/>
        </w:rPr>
        <w:t xml:space="preserve"> ולהכי הקשו התוס' מההיא דבני חיי ומזוני כו' דמיירי נמי ביחיד וכן ההוא דזכה מוסיפין לו איירי ביחיד ודמייתי לר"י גוים יחתו ולא ישראל משמע ליה אפי' ישראל יחידי ובפ' הישן מוקי להאי קרא בזמן שישראל עושין רצונו של מקום דהיינו ע"י זכות משתנה כמ"ש התוס'</w:t>
      </w:r>
      <w:r>
        <w:rPr>
          <w:rFonts w:ascii="David" w:hAnsi="David" w:cs="David" w:hint="cs"/>
          <w:sz w:val="28"/>
          <w:szCs w:val="28"/>
          <w:rtl/>
        </w:rPr>
        <w:t>''.</w:t>
      </w:r>
    </w:p>
    <w:sectPr w:rsidR="002C0AD4" w:rsidRPr="002C0A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F8005" w14:textId="77777777" w:rsidR="00CD0CE9" w:rsidRDefault="00CD0CE9" w:rsidP="000A61F6">
      <w:pPr>
        <w:spacing w:after="0" w:line="240" w:lineRule="auto"/>
      </w:pPr>
      <w:r>
        <w:separator/>
      </w:r>
    </w:p>
  </w:endnote>
  <w:endnote w:type="continuationSeparator" w:id="0">
    <w:p w14:paraId="6334FDEB" w14:textId="77777777" w:rsidR="00CD0CE9" w:rsidRDefault="00CD0CE9" w:rsidP="000A6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E730A2" w14:textId="77777777" w:rsidR="00CD0CE9" w:rsidRDefault="00CD0CE9" w:rsidP="000A61F6">
      <w:pPr>
        <w:spacing w:after="0" w:line="240" w:lineRule="auto"/>
      </w:pPr>
      <w:r>
        <w:separator/>
      </w:r>
    </w:p>
  </w:footnote>
  <w:footnote w:type="continuationSeparator" w:id="0">
    <w:p w14:paraId="10F30798" w14:textId="77777777" w:rsidR="00CD0CE9" w:rsidRDefault="00CD0CE9" w:rsidP="000A61F6">
      <w:pPr>
        <w:spacing w:after="0" w:line="240" w:lineRule="auto"/>
      </w:pPr>
      <w:r>
        <w:continuationSeparator/>
      </w:r>
    </w:p>
  </w:footnote>
  <w:footnote w:id="1">
    <w:p w14:paraId="1C75B100" w14:textId="4B05F126" w:rsidR="0014751F" w:rsidRPr="0014751F" w:rsidRDefault="0014751F" w:rsidP="0014751F">
      <w:pPr>
        <w:pStyle w:val="Notedebasdepage"/>
        <w:bidi/>
        <w:jc w:val="both"/>
        <w:rPr>
          <w:rFonts w:ascii="David" w:hAnsi="David" w:cs="David"/>
          <w:rtl/>
        </w:rPr>
      </w:pPr>
      <w:r w:rsidRPr="0014751F">
        <w:rPr>
          <w:rStyle w:val="Appelnotedebasdep"/>
          <w:rFonts w:ascii="David" w:hAnsi="David" w:cs="David"/>
        </w:rPr>
        <w:footnoteRef/>
      </w:r>
      <w:r w:rsidRPr="0014751F">
        <w:rPr>
          <w:rFonts w:ascii="David" w:hAnsi="David" w:cs="David"/>
        </w:rPr>
        <w:t xml:space="preserve"> </w:t>
      </w:r>
      <w:r w:rsidRPr="0014751F">
        <w:rPr>
          <w:rFonts w:ascii="David" w:hAnsi="David" w:cs="David"/>
          <w:rtl/>
        </w:rPr>
        <w:t xml:space="preserve"> ובאמת אפשר לתרץ כמו שהמרש רבה כותב על הפסוק בפר' </w:t>
      </w:r>
      <w:r w:rsidRPr="0014751F">
        <w:rPr>
          <w:rFonts w:ascii="David" w:hAnsi="David" w:cs="David"/>
          <w:b/>
          <w:bCs/>
          <w:rtl/>
        </w:rPr>
        <w:t>מקץ</w:t>
      </w:r>
      <w:r w:rsidRPr="0014751F">
        <w:rPr>
          <w:rFonts w:ascii="David" w:hAnsi="David" w:cs="David"/>
          <w:rtl/>
        </w:rPr>
        <w:t xml:space="preserve"> </w:t>
      </w:r>
      <w:r w:rsidRPr="0014751F">
        <w:rPr>
          <w:rFonts w:ascii="David" w:hAnsi="David" w:cs="David"/>
          <w:sz w:val="18"/>
          <w:szCs w:val="18"/>
          <w:rtl/>
        </w:rPr>
        <w:t xml:space="preserve">(מב, ד) </w:t>
      </w:r>
      <w:r w:rsidRPr="0014751F">
        <w:rPr>
          <w:rFonts w:ascii="David" w:hAnsi="David" w:cs="David"/>
          <w:rtl/>
        </w:rPr>
        <w:t>''וְאֶת בִּנְיָמִין אֲחִי יוֹסֵף לֹא שָׁלַח יַעֲקֹב אֶת אֶחָיו כִּי אָמַר פֶּן יִקְרָאֶנּוּ אָסוֹן'' וז''ל ''ובבית לא יקראנו אסון, אמר רבי אליעזר בן יעקב, מכאן שהשטן מקטרג בשעת הסכנה''.</w:t>
      </w:r>
    </w:p>
  </w:footnote>
  <w:footnote w:id="2">
    <w:p w14:paraId="6AAC08FF" w14:textId="14B3EC07" w:rsidR="000A61F6" w:rsidRPr="0014751F" w:rsidRDefault="000A61F6" w:rsidP="000A61F6">
      <w:pPr>
        <w:pStyle w:val="Notedebasdepage"/>
        <w:bidi/>
        <w:jc w:val="both"/>
        <w:rPr>
          <w:rFonts w:ascii="David" w:hAnsi="David" w:cs="David"/>
          <w:rtl/>
        </w:rPr>
      </w:pPr>
      <w:r w:rsidRPr="0014751F">
        <w:rPr>
          <w:rStyle w:val="Appelnotedebasdep"/>
          <w:rFonts w:ascii="David" w:hAnsi="David" w:cs="David"/>
        </w:rPr>
        <w:footnoteRef/>
      </w:r>
      <w:r w:rsidRPr="0014751F">
        <w:rPr>
          <w:rFonts w:ascii="David" w:hAnsi="David" w:cs="David"/>
        </w:rPr>
        <w:t xml:space="preserve"> </w:t>
      </w:r>
      <w:r w:rsidRPr="0014751F">
        <w:rPr>
          <w:rFonts w:ascii="David" w:hAnsi="David" w:cs="David"/>
          <w:rtl/>
        </w:rPr>
        <w:t xml:space="preserve"> משא''כ דיני הכלל הם שייכים רק בעולם הזה ולא בעולם הבא.</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332BE"/>
    <w:multiLevelType w:val="hybridMultilevel"/>
    <w:tmpl w:val="F09C43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6693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41F"/>
    <w:rsid w:val="000A61F6"/>
    <w:rsid w:val="000D1898"/>
    <w:rsid w:val="0014751F"/>
    <w:rsid w:val="001D140B"/>
    <w:rsid w:val="001D2779"/>
    <w:rsid w:val="002C0AD4"/>
    <w:rsid w:val="0030641F"/>
    <w:rsid w:val="004F426F"/>
    <w:rsid w:val="005B7301"/>
    <w:rsid w:val="005D6C38"/>
    <w:rsid w:val="006163E2"/>
    <w:rsid w:val="00683356"/>
    <w:rsid w:val="007127E4"/>
    <w:rsid w:val="008A135A"/>
    <w:rsid w:val="008A726D"/>
    <w:rsid w:val="00A60BCC"/>
    <w:rsid w:val="00C71E67"/>
    <w:rsid w:val="00C95C46"/>
    <w:rsid w:val="00CD0CE9"/>
    <w:rsid w:val="00E438D5"/>
    <w:rsid w:val="00EA47A3"/>
    <w:rsid w:val="00F05DEF"/>
    <w:rsid w:val="00FD2780"/>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4323"/>
  <w15:chartTrackingRefBased/>
  <w15:docId w15:val="{5FFAE4F1-B71D-4ED3-82ED-07467247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0641F"/>
    <w:pPr>
      <w:ind w:left="720"/>
      <w:contextualSpacing/>
    </w:pPr>
  </w:style>
  <w:style w:type="paragraph" w:styleId="Notedebasdepage">
    <w:name w:val="footnote text"/>
    <w:basedOn w:val="Normal"/>
    <w:link w:val="NotedebasdepageCar"/>
    <w:uiPriority w:val="99"/>
    <w:semiHidden/>
    <w:unhideWhenUsed/>
    <w:rsid w:val="000A61F6"/>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0A61F6"/>
    <w:rPr>
      <w:noProof/>
      <w:sz w:val="20"/>
      <w:szCs w:val="20"/>
    </w:rPr>
  </w:style>
  <w:style w:type="character" w:styleId="Appelnotedebasdep">
    <w:name w:val="footnote reference"/>
    <w:basedOn w:val="Policepardfaut"/>
    <w:uiPriority w:val="99"/>
    <w:semiHidden/>
    <w:unhideWhenUsed/>
    <w:rsid w:val="000A61F6"/>
    <w:rPr>
      <w:vertAlign w:val="superscript"/>
    </w:rPr>
  </w:style>
  <w:style w:type="character" w:styleId="Lienhypertexte">
    <w:name w:val="Hyperlink"/>
    <w:basedOn w:val="Policepardfaut"/>
    <w:uiPriority w:val="99"/>
    <w:unhideWhenUsed/>
    <w:rsid w:val="006163E2"/>
    <w:rPr>
      <w:color w:val="0563C1" w:themeColor="hyperlink"/>
      <w:u w:val="single"/>
    </w:rPr>
  </w:style>
  <w:style w:type="character" w:styleId="Mentionnonrsolue">
    <w:name w:val="Unresolved Mention"/>
    <w:basedOn w:val="Policepardfaut"/>
    <w:uiPriority w:val="99"/>
    <w:semiHidden/>
    <w:unhideWhenUsed/>
    <w:rsid w:val="006163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5F2551-5A15-4749-B70B-8D79ED86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4</Pages>
  <Words>1556</Words>
  <Characters>8558</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10</cp:revision>
  <dcterms:created xsi:type="dcterms:W3CDTF">2022-07-12T16:31:00Z</dcterms:created>
  <dcterms:modified xsi:type="dcterms:W3CDTF">2023-11-09T16:53:00Z</dcterms:modified>
</cp:coreProperties>
</file>