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537E" w14:textId="2536A281" w:rsidR="003C6C09" w:rsidRPr="00A315EB" w:rsidRDefault="00A315EB" w:rsidP="00A315EB">
      <w:pPr>
        <w:bidi/>
        <w:ind w:left="3540"/>
        <w:jc w:val="both"/>
        <w:rPr>
          <w:rFonts w:asciiTheme="majorBidi" w:hAnsiTheme="majorBidi" w:cstheme="majorBidi"/>
          <w:sz w:val="56"/>
          <w:szCs w:val="56"/>
          <w:u w:val="single"/>
          <w:rtl/>
        </w:rPr>
      </w:pPr>
      <w:r w:rsidRPr="00A315EB">
        <w:rPr>
          <w:rFonts w:asciiTheme="majorBidi" w:hAnsiTheme="majorBidi" w:cstheme="majorBidi" w:hint="cs"/>
          <w:sz w:val="56"/>
          <w:szCs w:val="56"/>
          <w:u w:val="single"/>
          <w:rtl/>
        </w:rPr>
        <w:t>לשם שמים</w:t>
      </w:r>
    </w:p>
    <w:p w14:paraId="23B3A689" w14:textId="77777777" w:rsidR="00A315EB" w:rsidRDefault="00A315EB" w:rsidP="00A315EB">
      <w:pPr>
        <w:bidi/>
        <w:jc w:val="both"/>
        <w:rPr>
          <w:rFonts w:asciiTheme="majorBidi" w:hAnsiTheme="majorBidi" w:cstheme="majorBidi"/>
          <w:sz w:val="28"/>
          <w:szCs w:val="28"/>
          <w:rtl/>
        </w:rPr>
      </w:pPr>
    </w:p>
    <w:p w14:paraId="6CCA566A" w14:textId="20D2BD2E" w:rsidR="00A315EB" w:rsidRPr="00A315EB" w:rsidRDefault="00A315EB" w:rsidP="00A315EB">
      <w:pPr>
        <w:bidi/>
        <w:jc w:val="both"/>
        <w:rPr>
          <w:rFonts w:asciiTheme="majorBidi" w:hAnsiTheme="majorBidi" w:cstheme="majorBidi"/>
          <w:sz w:val="36"/>
          <w:szCs w:val="36"/>
          <w:u w:val="single"/>
          <w:rtl/>
        </w:rPr>
      </w:pPr>
      <w:r w:rsidRPr="00A315EB">
        <w:rPr>
          <w:rFonts w:asciiTheme="majorBidi" w:hAnsiTheme="majorBidi" w:cstheme="majorBidi" w:hint="cs"/>
          <w:sz w:val="36"/>
          <w:szCs w:val="36"/>
          <w:u w:val="single"/>
          <w:rtl/>
        </w:rPr>
        <w:t>ה' מפלס כמה אדם רודף אחר תאווה וחמדה לשם שמים וכמה לשם הנאתו</w:t>
      </w:r>
    </w:p>
    <w:p w14:paraId="2FC52EF5" w14:textId="0A78AC11" w:rsidR="00A315EB" w:rsidRPr="00A315EB" w:rsidRDefault="00A315EB" w:rsidP="00A315EB">
      <w:pPr>
        <w:bidi/>
        <w:jc w:val="both"/>
        <w:rPr>
          <w:rFonts w:asciiTheme="majorBidi" w:hAnsiTheme="majorBidi" w:cstheme="majorBidi"/>
          <w:sz w:val="28"/>
          <w:szCs w:val="28"/>
        </w:rPr>
      </w:pPr>
      <w:r>
        <w:rPr>
          <w:rFonts w:asciiTheme="majorBidi" w:hAnsiTheme="majorBidi" w:cstheme="majorBidi" w:hint="cs"/>
          <w:sz w:val="28"/>
          <w:szCs w:val="28"/>
          <w:rtl/>
        </w:rPr>
        <w:t xml:space="preserve">עי' </w:t>
      </w:r>
      <w:r w:rsidRPr="00A315EB">
        <w:rPr>
          <w:rFonts w:asciiTheme="majorBidi" w:hAnsiTheme="majorBidi" w:cstheme="majorBidi" w:hint="cs"/>
          <w:b/>
          <w:bCs/>
          <w:sz w:val="28"/>
          <w:szCs w:val="28"/>
          <w:rtl/>
        </w:rPr>
        <w:t>הגר''א</w:t>
      </w:r>
      <w:r>
        <w:rPr>
          <w:rFonts w:asciiTheme="majorBidi" w:hAnsiTheme="majorBidi" w:cstheme="majorBidi" w:hint="cs"/>
          <w:sz w:val="28"/>
          <w:szCs w:val="28"/>
          <w:rtl/>
        </w:rPr>
        <w:t xml:space="preserve"> בפירושו על </w:t>
      </w:r>
      <w:r w:rsidRPr="00A315EB">
        <w:rPr>
          <w:rFonts w:asciiTheme="majorBidi" w:hAnsiTheme="majorBidi" w:cstheme="majorBidi" w:hint="cs"/>
          <w:b/>
          <w:bCs/>
          <w:sz w:val="28"/>
          <w:szCs w:val="28"/>
          <w:rtl/>
        </w:rPr>
        <w:t>משלי</w:t>
      </w:r>
      <w:r>
        <w:rPr>
          <w:rFonts w:asciiTheme="majorBidi" w:hAnsiTheme="majorBidi" w:cstheme="majorBidi" w:hint="cs"/>
          <w:sz w:val="28"/>
          <w:szCs w:val="28"/>
          <w:rtl/>
        </w:rPr>
        <w:t xml:space="preserve"> </w:t>
      </w:r>
      <w:r w:rsidRPr="00A315EB">
        <w:rPr>
          <w:rFonts w:asciiTheme="majorBidi" w:hAnsiTheme="majorBidi" w:cstheme="majorBidi" w:hint="cs"/>
          <w:sz w:val="24"/>
          <w:szCs w:val="24"/>
          <w:rtl/>
        </w:rPr>
        <w:t xml:space="preserve">(ה, כא) </w:t>
      </w:r>
      <w:r>
        <w:rPr>
          <w:rFonts w:asciiTheme="majorBidi" w:hAnsiTheme="majorBidi" w:cstheme="majorBidi" w:hint="cs"/>
          <w:sz w:val="28"/>
          <w:szCs w:val="28"/>
          <w:rtl/>
        </w:rPr>
        <w:t>על הפסוק ''</w:t>
      </w:r>
      <w:r w:rsidRPr="00A315EB">
        <w:rPr>
          <w:rFonts w:asciiTheme="majorBidi" w:hAnsiTheme="majorBidi" w:cstheme="majorBidi"/>
          <w:sz w:val="28"/>
          <w:szCs w:val="28"/>
          <w:rtl/>
        </w:rPr>
        <w:t>כִּי נֹכַח עֵינֵי יְהוָה דַּרְכֵי אִישׁ וְכָל מַעְגְּלֹתָיו מְפַלֵּס</w:t>
      </w:r>
      <w:r>
        <w:rPr>
          <w:rFonts w:asciiTheme="majorBidi" w:hAnsiTheme="majorBidi" w:cstheme="majorBidi" w:hint="cs"/>
          <w:sz w:val="28"/>
          <w:szCs w:val="28"/>
          <w:rtl/>
        </w:rPr>
        <w:t>'' שכותב ש'דרכי איש' האמור בפסוק הוא נגד החמדה, שהוא הולך דרכים, רודף תמיד והולך [כדי להתפרנס], ו'מעגל' הוא נגד התאווה, כי מעגל הוא קטן מדרך, והיינו מפני שהבעל תאוה אינו הולך בדרך אלא יושב בביתו למלאות תאותו ע''י גלגולים וסיבות,לכך אומר הפסוק שאם יאמר האדם שמה שהוא רודף אחר התאווה והחמדה הוא לשם שמים, ה' מפלס כוונתו ומודד כמה לשם שמים וכמה לשם תאותו</w:t>
      </w:r>
      <w:r>
        <w:rPr>
          <w:rStyle w:val="Appelnotedebasdep"/>
          <w:rFonts w:asciiTheme="majorBidi" w:hAnsiTheme="majorBidi" w:cstheme="majorBidi"/>
          <w:sz w:val="28"/>
          <w:szCs w:val="28"/>
          <w:rtl/>
        </w:rPr>
        <w:footnoteReference w:id="1"/>
      </w:r>
      <w:r>
        <w:rPr>
          <w:rFonts w:asciiTheme="majorBidi" w:hAnsiTheme="majorBidi" w:cstheme="majorBidi" w:hint="cs"/>
          <w:sz w:val="28"/>
          <w:szCs w:val="28"/>
          <w:rtl/>
        </w:rPr>
        <w:t>.</w:t>
      </w:r>
    </w:p>
    <w:sectPr w:rsidR="00A315EB" w:rsidRPr="00A315E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3BEE1" w14:textId="77777777" w:rsidR="00D13088" w:rsidRDefault="00D13088" w:rsidP="00A315EB">
      <w:pPr>
        <w:spacing w:after="0" w:line="240" w:lineRule="auto"/>
      </w:pPr>
      <w:r>
        <w:separator/>
      </w:r>
    </w:p>
  </w:endnote>
  <w:endnote w:type="continuationSeparator" w:id="0">
    <w:p w14:paraId="73C17D0A" w14:textId="77777777" w:rsidR="00D13088" w:rsidRDefault="00D13088" w:rsidP="00A31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E378" w14:textId="77777777" w:rsidR="00D13088" w:rsidRDefault="00D13088" w:rsidP="00A315EB">
      <w:pPr>
        <w:spacing w:after="0" w:line="240" w:lineRule="auto"/>
      </w:pPr>
      <w:r>
        <w:separator/>
      </w:r>
    </w:p>
  </w:footnote>
  <w:footnote w:type="continuationSeparator" w:id="0">
    <w:p w14:paraId="3242A034" w14:textId="77777777" w:rsidR="00D13088" w:rsidRDefault="00D13088" w:rsidP="00A315EB">
      <w:pPr>
        <w:spacing w:after="0" w:line="240" w:lineRule="auto"/>
      </w:pPr>
      <w:r>
        <w:continuationSeparator/>
      </w:r>
    </w:p>
  </w:footnote>
  <w:footnote w:id="1">
    <w:p w14:paraId="526DC47E" w14:textId="4B4BBC64" w:rsidR="00A315EB" w:rsidRPr="00A315EB" w:rsidRDefault="00A315EB" w:rsidP="00A315EB">
      <w:pPr>
        <w:pStyle w:val="Notedebasdepage"/>
        <w:bidi/>
        <w:jc w:val="both"/>
        <w:rPr>
          <w:rFonts w:ascii="Times New Roman" w:hAnsi="Times New Roman" w:cs="Times New Roman"/>
          <w:rtl/>
        </w:rPr>
      </w:pPr>
      <w:r w:rsidRPr="00A315EB">
        <w:rPr>
          <w:rStyle w:val="Appelnotedebasdep"/>
          <w:rFonts w:ascii="Times New Roman" w:hAnsi="Times New Roman" w:cs="Times New Roman"/>
        </w:rPr>
        <w:footnoteRef/>
      </w:r>
      <w:r w:rsidRPr="00A315EB">
        <w:rPr>
          <w:rFonts w:ascii="Times New Roman" w:hAnsi="Times New Roman" w:cs="Times New Roman"/>
        </w:rPr>
        <w:t xml:space="preserve"> </w:t>
      </w:r>
      <w:r w:rsidRPr="00A315EB">
        <w:rPr>
          <w:rFonts w:ascii="Times New Roman" w:hAnsi="Times New Roman" w:cs="Times New Roman"/>
          <w:rtl/>
        </w:rPr>
        <w:t xml:space="preserve"> על החמדה שהוא בגלוי נקט 'נוכח עיני ה', ועל תאוה שהיא בסתר נקט 'מעגלותיו', </w:t>
      </w:r>
      <w:r w:rsidRPr="00A315EB">
        <w:rPr>
          <w:rFonts w:ascii="Times New Roman" w:hAnsi="Times New Roman" w:cs="Times New Roman"/>
          <w:b/>
          <w:bCs/>
          <w:rtl/>
        </w:rPr>
        <w:t>גר''א</w:t>
      </w:r>
      <w:r w:rsidRPr="00A315EB">
        <w:rPr>
          <w:rFonts w:ascii="Times New Roman" w:hAnsi="Times New Roman" w:cs="Times New Roman"/>
          <w:rtl/>
        </w:rPr>
        <w:t xml:space="preserve"> </w:t>
      </w:r>
      <w:r w:rsidRPr="00A315EB">
        <w:rPr>
          <w:rFonts w:ascii="Times New Roman" w:hAnsi="Times New Roman" w:cs="Times New Roman"/>
          <w:sz w:val="18"/>
          <w:szCs w:val="18"/>
          <w:rtl/>
        </w:rPr>
        <w:t>(שם)</w:t>
      </w:r>
      <w:r w:rsidRPr="00A315EB">
        <w:rPr>
          <w:rFonts w:ascii="Times New Roman" w:hAnsi="Times New Roman" w:cs="Times New Roman"/>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EB"/>
    <w:rsid w:val="003C6C09"/>
    <w:rsid w:val="005C7AAB"/>
    <w:rsid w:val="006E1F17"/>
    <w:rsid w:val="009B49EA"/>
    <w:rsid w:val="00A315EB"/>
    <w:rsid w:val="00CE18E7"/>
    <w:rsid w:val="00D1308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E567"/>
  <w15:chartTrackingRefBased/>
  <w15:docId w15:val="{66F806D0-7301-451E-9432-20A29F4E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A31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31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315E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315E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315E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315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15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15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15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15EB"/>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A315EB"/>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A315EB"/>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A315EB"/>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A315EB"/>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A315EB"/>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A315EB"/>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A315EB"/>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A315EB"/>
    <w:rPr>
      <w:rFonts w:eastAsiaTheme="majorEastAsia" w:cstheme="majorBidi"/>
      <w:noProof/>
      <w:color w:val="272727" w:themeColor="text1" w:themeTint="D8"/>
    </w:rPr>
  </w:style>
  <w:style w:type="paragraph" w:styleId="Titre">
    <w:name w:val="Title"/>
    <w:basedOn w:val="Normal"/>
    <w:next w:val="Normal"/>
    <w:link w:val="TitreCar"/>
    <w:uiPriority w:val="10"/>
    <w:qFormat/>
    <w:rsid w:val="00A31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15EB"/>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A315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15EB"/>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A315EB"/>
    <w:pPr>
      <w:spacing w:before="160"/>
      <w:jc w:val="center"/>
    </w:pPr>
    <w:rPr>
      <w:i/>
      <w:iCs/>
      <w:color w:val="404040" w:themeColor="text1" w:themeTint="BF"/>
    </w:rPr>
  </w:style>
  <w:style w:type="character" w:customStyle="1" w:styleId="CitationCar">
    <w:name w:val="Citation Car"/>
    <w:basedOn w:val="Policepardfaut"/>
    <w:link w:val="Citation"/>
    <w:uiPriority w:val="29"/>
    <w:rsid w:val="00A315EB"/>
    <w:rPr>
      <w:i/>
      <w:iCs/>
      <w:noProof/>
      <w:color w:val="404040" w:themeColor="text1" w:themeTint="BF"/>
    </w:rPr>
  </w:style>
  <w:style w:type="paragraph" w:styleId="Paragraphedeliste">
    <w:name w:val="List Paragraph"/>
    <w:basedOn w:val="Normal"/>
    <w:uiPriority w:val="34"/>
    <w:qFormat/>
    <w:rsid w:val="00A315EB"/>
    <w:pPr>
      <w:ind w:left="720"/>
      <w:contextualSpacing/>
    </w:pPr>
  </w:style>
  <w:style w:type="character" w:styleId="Accentuationintense">
    <w:name w:val="Intense Emphasis"/>
    <w:basedOn w:val="Policepardfaut"/>
    <w:uiPriority w:val="21"/>
    <w:qFormat/>
    <w:rsid w:val="00A315EB"/>
    <w:rPr>
      <w:i/>
      <w:iCs/>
      <w:color w:val="2F5496" w:themeColor="accent1" w:themeShade="BF"/>
    </w:rPr>
  </w:style>
  <w:style w:type="paragraph" w:styleId="Citationintense">
    <w:name w:val="Intense Quote"/>
    <w:basedOn w:val="Normal"/>
    <w:next w:val="Normal"/>
    <w:link w:val="CitationintenseCar"/>
    <w:uiPriority w:val="30"/>
    <w:qFormat/>
    <w:rsid w:val="00A31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315EB"/>
    <w:rPr>
      <w:i/>
      <w:iCs/>
      <w:noProof/>
      <w:color w:val="2F5496" w:themeColor="accent1" w:themeShade="BF"/>
    </w:rPr>
  </w:style>
  <w:style w:type="character" w:styleId="Rfrenceintense">
    <w:name w:val="Intense Reference"/>
    <w:basedOn w:val="Policepardfaut"/>
    <w:uiPriority w:val="32"/>
    <w:qFormat/>
    <w:rsid w:val="00A315EB"/>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A315E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315EB"/>
    <w:rPr>
      <w:noProof/>
      <w:sz w:val="20"/>
      <w:szCs w:val="20"/>
    </w:rPr>
  </w:style>
  <w:style w:type="character" w:styleId="Appelnotedebasdep">
    <w:name w:val="footnote reference"/>
    <w:basedOn w:val="Policepardfaut"/>
    <w:uiPriority w:val="99"/>
    <w:semiHidden/>
    <w:unhideWhenUsed/>
    <w:rsid w:val="00A315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FF939-86D3-4795-9CCC-67053FCE1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82</Words>
  <Characters>457</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2</cp:revision>
  <dcterms:created xsi:type="dcterms:W3CDTF">2025-06-28T19:22:00Z</dcterms:created>
  <dcterms:modified xsi:type="dcterms:W3CDTF">2025-06-28T19:33:00Z</dcterms:modified>
</cp:coreProperties>
</file>