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43519" w14:textId="38F2AF22" w:rsidR="000F5E73" w:rsidRPr="00A134E3" w:rsidRDefault="0068609F" w:rsidP="00A134E3">
      <w:pPr>
        <w:bidi/>
        <w:ind w:left="2124"/>
        <w:jc w:val="both"/>
        <w:rPr>
          <w:rFonts w:ascii="Arial" w:hAnsi="Arial" w:cs="Arial"/>
          <w:noProof/>
          <w:sz w:val="56"/>
          <w:szCs w:val="56"/>
          <w:u w:val="single"/>
          <w:rtl/>
        </w:rPr>
      </w:pPr>
      <w:r w:rsidRPr="00A134E3">
        <w:rPr>
          <w:rFonts w:ascii="Arial" w:hAnsi="Arial" w:cs="Arial"/>
          <w:noProof/>
          <w:sz w:val="56"/>
          <w:szCs w:val="56"/>
          <w:u w:val="single"/>
          <w:rtl/>
        </w:rPr>
        <w:t xml:space="preserve">בענין </w:t>
      </w:r>
      <w:r w:rsidRPr="00A134E3">
        <w:rPr>
          <w:rFonts w:ascii="Arial" w:hAnsi="Arial" w:cs="Arial" w:hint="cs"/>
          <w:noProof/>
          <w:sz w:val="56"/>
          <w:szCs w:val="56"/>
          <w:u w:val="single"/>
          <w:rtl/>
        </w:rPr>
        <w:t>מומר לתאבון</w:t>
      </w:r>
    </w:p>
    <w:p w14:paraId="51357CF3" w14:textId="0C0748B4" w:rsidR="0068609F" w:rsidRDefault="0068609F" w:rsidP="0068609F">
      <w:pPr>
        <w:bidi/>
        <w:jc w:val="both"/>
        <w:rPr>
          <w:rFonts w:ascii="Arial" w:hAnsi="Arial" w:cs="Arial"/>
          <w:noProof/>
          <w:sz w:val="28"/>
          <w:szCs w:val="28"/>
          <w:rtl/>
        </w:rPr>
      </w:pPr>
    </w:p>
    <w:p w14:paraId="0E7CCD60" w14:textId="64DFA740" w:rsidR="0068609F" w:rsidRDefault="0068609F" w:rsidP="0068609F">
      <w:pPr>
        <w:bidi/>
        <w:jc w:val="both"/>
        <w:rPr>
          <w:rFonts w:ascii="Arial" w:hAnsi="Arial" w:cs="Arial"/>
          <w:noProof/>
          <w:sz w:val="28"/>
          <w:szCs w:val="28"/>
          <w:rtl/>
        </w:rPr>
      </w:pPr>
    </w:p>
    <w:p w14:paraId="7320381C" w14:textId="5D5E5673" w:rsidR="0068609F" w:rsidRDefault="0068609F" w:rsidP="0068609F">
      <w:pPr>
        <w:bidi/>
        <w:jc w:val="both"/>
        <w:rPr>
          <w:rFonts w:ascii="Arial" w:hAnsi="Arial" w:cs="Arial"/>
          <w:noProof/>
          <w:sz w:val="28"/>
          <w:szCs w:val="28"/>
          <w:rtl/>
        </w:rPr>
      </w:pPr>
      <w:r>
        <w:rPr>
          <w:rFonts w:ascii="Arial" w:hAnsi="Arial" w:cs="Arial" w:hint="cs"/>
          <w:noProof/>
          <w:sz w:val="28"/>
          <w:szCs w:val="28"/>
          <w:rtl/>
        </w:rPr>
        <w:t>_ והנה ידוע שמומר לתאבון היינו מי שאוכל איסור כשאין לו היתר אבל אי איכא היתירא ואיסורא לא שביק היתירא ואכיל איסורא.</w:t>
      </w:r>
    </w:p>
    <w:p w14:paraId="07276A40" w14:textId="7C6C80A3" w:rsidR="0068609F" w:rsidRDefault="0068609F" w:rsidP="0068609F">
      <w:pPr>
        <w:bidi/>
        <w:jc w:val="both"/>
        <w:rPr>
          <w:rFonts w:ascii="Arial" w:hAnsi="Arial" w:cs="Arial"/>
          <w:noProof/>
          <w:sz w:val="28"/>
          <w:szCs w:val="28"/>
          <w:rtl/>
        </w:rPr>
      </w:pPr>
      <w:r>
        <w:rPr>
          <w:rFonts w:ascii="Arial" w:hAnsi="Arial" w:cs="Arial" w:hint="cs"/>
          <w:noProof/>
          <w:sz w:val="28"/>
          <w:szCs w:val="28"/>
          <w:rtl/>
        </w:rPr>
        <w:t>ומה יהיה הדין אם יש איסור והיתר אבל האיסור מזומן לפניו וההיתר צריך קצת טרחא כדי להביאו לפניו [כגון בסכין פגומה וצריך לטרוח לחזור אחר סכין אחרת] ואוכל איסורא האם בכה''ג נקרא עדיין מומר לתיאבון או שהוא מומר להכעיס, עי' הגמ'</w:t>
      </w:r>
      <w:r w:rsidR="00A134E3">
        <w:rPr>
          <w:rFonts w:ascii="Arial" w:hAnsi="Arial" w:cs="Arial" w:hint="cs"/>
          <w:noProof/>
          <w:sz w:val="28"/>
          <w:szCs w:val="28"/>
          <w:rtl/>
        </w:rPr>
        <w:t xml:space="preserve"> </w:t>
      </w:r>
      <w:r w:rsidR="00A134E3" w:rsidRPr="00A134E3">
        <w:rPr>
          <w:rFonts w:ascii="Arial" w:hAnsi="Arial" w:cs="Arial" w:hint="cs"/>
          <w:b/>
          <w:bCs/>
          <w:noProof/>
          <w:sz w:val="28"/>
          <w:szCs w:val="28"/>
          <w:rtl/>
        </w:rPr>
        <w:t>ב</w:t>
      </w:r>
      <w:r w:rsidRPr="00A134E3">
        <w:rPr>
          <w:rFonts w:ascii="Arial" w:hAnsi="Arial" w:cs="Arial" w:hint="cs"/>
          <w:b/>
          <w:bCs/>
          <w:noProof/>
          <w:sz w:val="28"/>
          <w:szCs w:val="28"/>
          <w:rtl/>
        </w:rPr>
        <w:t>חולין</w:t>
      </w:r>
      <w:r w:rsidR="00A134E3" w:rsidRPr="00A134E3">
        <w:rPr>
          <w:rFonts w:ascii="Arial" w:hAnsi="Arial" w:cs="Arial" w:hint="cs"/>
          <w:noProof/>
          <w:sz w:val="24"/>
          <w:szCs w:val="24"/>
          <w:rtl/>
        </w:rPr>
        <w:t>(דף</w:t>
      </w:r>
      <w:r w:rsidRPr="00A134E3">
        <w:rPr>
          <w:rFonts w:ascii="Arial" w:hAnsi="Arial" w:cs="Arial" w:hint="cs"/>
          <w:noProof/>
          <w:sz w:val="24"/>
          <w:szCs w:val="24"/>
          <w:rtl/>
        </w:rPr>
        <w:t xml:space="preserve"> ד.</w:t>
      </w:r>
      <w:r w:rsidR="00A134E3" w:rsidRPr="00A134E3">
        <w:rPr>
          <w:rFonts w:ascii="Arial" w:hAnsi="Arial" w:cs="Arial" w:hint="cs"/>
          <w:noProof/>
          <w:sz w:val="24"/>
          <w:szCs w:val="24"/>
          <w:rtl/>
        </w:rPr>
        <w:t>)</w:t>
      </w:r>
      <w:r w:rsidRPr="00A134E3">
        <w:rPr>
          <w:rFonts w:ascii="Arial" w:hAnsi="Arial" w:cs="Arial" w:hint="cs"/>
          <w:noProof/>
          <w:sz w:val="24"/>
          <w:szCs w:val="24"/>
          <w:rtl/>
        </w:rPr>
        <w:t xml:space="preserve"> </w:t>
      </w:r>
      <w:r>
        <w:rPr>
          <w:rFonts w:ascii="Arial" w:hAnsi="Arial" w:cs="Arial" w:hint="cs"/>
          <w:noProof/>
          <w:sz w:val="28"/>
          <w:szCs w:val="28"/>
          <w:rtl/>
        </w:rPr>
        <w:t>דמשמע שבכה''ג אכיל איסורא ומ''מ נקרא מומר לתיאבון</w:t>
      </w:r>
    </w:p>
    <w:p w14:paraId="730D8FB3" w14:textId="77777777" w:rsidR="0068609F" w:rsidRPr="0068609F" w:rsidRDefault="0068609F" w:rsidP="0068609F">
      <w:pPr>
        <w:bidi/>
        <w:jc w:val="both"/>
        <w:rPr>
          <w:rFonts w:ascii="Arial" w:hAnsi="Arial" w:cs="Arial"/>
          <w:noProof/>
          <w:sz w:val="28"/>
          <w:szCs w:val="28"/>
        </w:rPr>
      </w:pPr>
    </w:p>
    <w:sectPr w:rsidR="0068609F" w:rsidRPr="006860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09F"/>
    <w:rsid w:val="000F5E73"/>
    <w:rsid w:val="0068609F"/>
    <w:rsid w:val="00A1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F30F4"/>
  <w15:chartTrackingRefBased/>
  <w15:docId w15:val="{60B723E1-09A7-40D6-B32C-8061AEDEC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65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1</cp:revision>
  <dcterms:created xsi:type="dcterms:W3CDTF">2022-01-27T11:38:00Z</dcterms:created>
  <dcterms:modified xsi:type="dcterms:W3CDTF">2022-01-27T11:44:00Z</dcterms:modified>
</cp:coreProperties>
</file>