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F64C7" w14:textId="6E44046D" w:rsidR="001D2779" w:rsidRPr="008D0CDA" w:rsidRDefault="008D0CDA" w:rsidP="008D0CDA">
      <w:pPr>
        <w:bidi/>
        <w:ind w:left="3540"/>
        <w:jc w:val="both"/>
        <w:rPr>
          <w:rFonts w:ascii="David" w:hAnsi="David" w:cs="David"/>
          <w:sz w:val="56"/>
          <w:szCs w:val="56"/>
          <w:u w:val="single"/>
          <w:rtl/>
        </w:rPr>
      </w:pPr>
      <w:r w:rsidRPr="008D0CDA">
        <w:rPr>
          <w:rFonts w:ascii="David" w:hAnsi="David" w:cs="David" w:hint="cs"/>
          <w:sz w:val="56"/>
          <w:szCs w:val="56"/>
          <w:u w:val="single"/>
          <w:rtl/>
        </w:rPr>
        <w:t>מחילה</w:t>
      </w:r>
    </w:p>
    <w:p w14:paraId="13234DF3" w14:textId="77777777" w:rsidR="008D0CDA" w:rsidRDefault="008D0CDA" w:rsidP="008D0CDA">
      <w:pPr>
        <w:bidi/>
        <w:jc w:val="both"/>
        <w:rPr>
          <w:rFonts w:ascii="David" w:hAnsi="David" w:cs="David"/>
          <w:sz w:val="28"/>
          <w:szCs w:val="28"/>
          <w:rtl/>
        </w:rPr>
      </w:pPr>
    </w:p>
    <w:p w14:paraId="4EC8E854" w14:textId="77777777" w:rsidR="008D0CDA" w:rsidRDefault="008D0CDA" w:rsidP="008D0CDA">
      <w:pPr>
        <w:bidi/>
        <w:jc w:val="both"/>
        <w:rPr>
          <w:rFonts w:ascii="David" w:hAnsi="David" w:cs="David"/>
          <w:sz w:val="28"/>
          <w:szCs w:val="28"/>
          <w:rtl/>
        </w:rPr>
      </w:pPr>
    </w:p>
    <w:p w14:paraId="035711B5" w14:textId="23121BDA" w:rsidR="008D0CDA" w:rsidRPr="008D0CDA" w:rsidRDefault="008D0CDA" w:rsidP="008D0CDA">
      <w:pPr>
        <w:bidi/>
        <w:jc w:val="both"/>
        <w:rPr>
          <w:rFonts w:ascii="David" w:hAnsi="David" w:cs="David"/>
          <w:sz w:val="36"/>
          <w:szCs w:val="36"/>
          <w:u w:val="single"/>
          <w:rtl/>
        </w:rPr>
      </w:pPr>
      <w:r w:rsidRPr="008D0CDA">
        <w:rPr>
          <w:rFonts w:ascii="David" w:hAnsi="David" w:cs="David" w:hint="cs"/>
          <w:sz w:val="36"/>
          <w:szCs w:val="36"/>
          <w:u w:val="single"/>
          <w:rtl/>
        </w:rPr>
        <w:t>המבקש מחילה לניזק יצא ידי שמים גם אם הניזק לא מוחל</w:t>
      </w:r>
    </w:p>
    <w:p w14:paraId="430F4D68" w14:textId="06089C95" w:rsidR="008D0CDA" w:rsidRDefault="008D0CDA" w:rsidP="008D0CDA">
      <w:pPr>
        <w:bidi/>
        <w:jc w:val="both"/>
        <w:rPr>
          <w:rFonts w:ascii="David" w:hAnsi="David" w:cs="David"/>
          <w:sz w:val="28"/>
          <w:szCs w:val="28"/>
          <w:rtl/>
        </w:rPr>
      </w:pPr>
      <w:r>
        <w:rPr>
          <w:rFonts w:ascii="David" w:hAnsi="David" w:cs="David" w:hint="cs"/>
          <w:sz w:val="28"/>
          <w:szCs w:val="28"/>
          <w:rtl/>
        </w:rPr>
        <w:t xml:space="preserve">איתא במשנה </w:t>
      </w:r>
      <w:r w:rsidRPr="008D0CDA">
        <w:rPr>
          <w:rFonts w:ascii="David" w:hAnsi="David" w:cs="David" w:hint="cs"/>
          <w:b/>
          <w:bCs/>
          <w:sz w:val="28"/>
          <w:szCs w:val="28"/>
          <w:rtl/>
        </w:rPr>
        <w:t>בב''ק</w:t>
      </w:r>
      <w:r>
        <w:rPr>
          <w:rFonts w:ascii="David" w:hAnsi="David" w:cs="David" w:hint="cs"/>
          <w:sz w:val="28"/>
          <w:szCs w:val="28"/>
          <w:rtl/>
        </w:rPr>
        <w:t xml:space="preserve"> </w:t>
      </w:r>
      <w:r w:rsidRPr="008D0CDA">
        <w:rPr>
          <w:rFonts w:ascii="David" w:hAnsi="David" w:cs="David" w:hint="cs"/>
          <w:sz w:val="24"/>
          <w:szCs w:val="24"/>
          <w:rtl/>
        </w:rPr>
        <w:t xml:space="preserve">(דף צב.) </w:t>
      </w:r>
      <w:r>
        <w:rPr>
          <w:rFonts w:ascii="David" w:hAnsi="David" w:cs="David" w:hint="cs"/>
          <w:sz w:val="28"/>
          <w:szCs w:val="28"/>
          <w:rtl/>
        </w:rPr>
        <w:t>''</w:t>
      </w:r>
      <w:r w:rsidRPr="008D0CDA">
        <w:rPr>
          <w:rFonts w:ascii="David" w:hAnsi="David" w:cs="David"/>
          <w:sz w:val="28"/>
          <w:szCs w:val="28"/>
          <w:rtl/>
        </w:rPr>
        <w:t>אף על פי שהוא נותן לו, אין נמחל לו עד שיבקש ממנו, שנאמר: ועתה השב אשת וגו'. ומנין שאם לא מחל לו שהוא אכזרי? שנאמר: ויתפלל אברהם אל האלהים וירפא אלהים את אבימלך וגו'</w:t>
      </w:r>
      <w:r>
        <w:rPr>
          <w:rFonts w:ascii="David" w:hAnsi="David" w:cs="David" w:hint="cs"/>
          <w:sz w:val="28"/>
          <w:szCs w:val="28"/>
          <w:rtl/>
        </w:rPr>
        <w:t>''.</w:t>
      </w:r>
    </w:p>
    <w:p w14:paraId="1F274F69" w14:textId="7CD8AB7D" w:rsidR="008D0CDA" w:rsidRPr="008D0CDA" w:rsidRDefault="008D0CDA" w:rsidP="008D0CDA">
      <w:pPr>
        <w:bidi/>
        <w:jc w:val="both"/>
        <w:rPr>
          <w:rFonts w:ascii="David" w:hAnsi="David" w:cs="David"/>
          <w:sz w:val="28"/>
          <w:szCs w:val="28"/>
        </w:rPr>
      </w:pPr>
      <w:r>
        <w:rPr>
          <w:rFonts w:ascii="David" w:hAnsi="David" w:cs="David" w:hint="cs"/>
          <w:sz w:val="28"/>
          <w:szCs w:val="28"/>
          <w:rtl/>
        </w:rPr>
        <w:t xml:space="preserve">וכותב </w:t>
      </w:r>
      <w:r w:rsidRPr="008D0CDA">
        <w:rPr>
          <w:rFonts w:ascii="David" w:hAnsi="David" w:cs="David" w:hint="cs"/>
          <w:b/>
          <w:bCs/>
          <w:sz w:val="28"/>
          <w:szCs w:val="28"/>
          <w:rtl/>
        </w:rPr>
        <w:t>הפ''י</w:t>
      </w:r>
      <w:r>
        <w:rPr>
          <w:rFonts w:ascii="David" w:hAnsi="David" w:cs="David" w:hint="cs"/>
          <w:sz w:val="28"/>
          <w:szCs w:val="28"/>
          <w:rtl/>
        </w:rPr>
        <w:t xml:space="preserve"> ''</w:t>
      </w:r>
      <w:r w:rsidRPr="008D0CDA">
        <w:rPr>
          <w:rFonts w:ascii="David" w:hAnsi="David" w:cs="David"/>
          <w:sz w:val="28"/>
          <w:szCs w:val="28"/>
          <w:rtl/>
        </w:rPr>
        <w:t xml:space="preserve">ומנין שאם לא מחל לו שהוא אכזרי שנאמר ויתפלל אברהם כו'. ויש לדקדק אכתי מנ"ל שהוא אכזרי דלמא המחילה רשות לכל אדם, ועוד יש לדקדק </w:t>
      </w:r>
      <w:r w:rsidRPr="008D0CDA">
        <w:rPr>
          <w:rFonts w:ascii="David" w:hAnsi="David" w:cs="David"/>
          <w:sz w:val="28"/>
          <w:szCs w:val="28"/>
          <w:u w:val="single"/>
          <w:rtl/>
        </w:rPr>
        <w:t>דממשנתינו משמע שלאחר שביקש מחילה יצא ידי שמים לגמרי וא"כ למה היה צריך אברהם להתפלל דמאחר שאבימלך ביקש מחילה מאתו ונתרצה לו ממילא היה ראוי לרפואה דמה לו לעשות עוד</w:t>
      </w:r>
      <w:r w:rsidRPr="008D0CDA">
        <w:rPr>
          <w:rFonts w:ascii="David" w:hAnsi="David" w:cs="David"/>
          <w:sz w:val="28"/>
          <w:szCs w:val="28"/>
          <w:rtl/>
        </w:rPr>
        <w:t>. וי"ל דאדרבה מהכא ילפינן כיון דממילא משמע שבלא התפלה היה ראוי להתרפא וא"כ על כרחך שתפלת אברהם לא הוצרכה אלא להראות לרבים שידעו שמחל לו ולהראות דין המחילה לרבים שהיא מצד החיוב</w:t>
      </w:r>
      <w:r>
        <w:rPr>
          <w:rFonts w:ascii="David" w:hAnsi="David" w:cs="David" w:hint="cs"/>
          <w:sz w:val="28"/>
          <w:szCs w:val="28"/>
          <w:rtl/>
        </w:rPr>
        <w:t>''.</w:t>
      </w:r>
    </w:p>
    <w:sectPr w:rsidR="008D0CDA" w:rsidRPr="008D0C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DA"/>
    <w:rsid w:val="001D2779"/>
    <w:rsid w:val="008D0CD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90C7"/>
  <w15:chartTrackingRefBased/>
  <w15:docId w15:val="{88883A6E-4105-488C-BC33-035A5CAF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113</Words>
  <Characters>622</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2024-02-04T17:58:00Z</dcterms:created>
  <dcterms:modified xsi:type="dcterms:W3CDTF">2024-02-04T18:01:00Z</dcterms:modified>
</cp:coreProperties>
</file>