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856CD" w14:textId="40744197" w:rsidR="001D2779" w:rsidRPr="001233ED" w:rsidRDefault="001233ED" w:rsidP="001233ED">
      <w:pPr>
        <w:bidi/>
        <w:ind w:left="3540"/>
        <w:jc w:val="both"/>
        <w:rPr>
          <w:rFonts w:ascii="David" w:hAnsi="David" w:cs="David"/>
          <w:sz w:val="56"/>
          <w:szCs w:val="56"/>
          <w:u w:val="single"/>
          <w:rtl/>
        </w:rPr>
      </w:pPr>
      <w:r w:rsidRPr="001233ED">
        <w:rPr>
          <w:rFonts w:ascii="David" w:hAnsi="David" w:cs="David" w:hint="cs"/>
          <w:sz w:val="56"/>
          <w:szCs w:val="56"/>
          <w:u w:val="single"/>
          <w:rtl/>
        </w:rPr>
        <w:t>מחלוקת</w:t>
      </w:r>
    </w:p>
    <w:p w14:paraId="47050EDA" w14:textId="2817A899" w:rsidR="001233ED" w:rsidRDefault="001233ED" w:rsidP="001233ED">
      <w:pPr>
        <w:bidi/>
        <w:jc w:val="both"/>
        <w:rPr>
          <w:rFonts w:ascii="David" w:hAnsi="David" w:cs="David"/>
          <w:sz w:val="28"/>
          <w:szCs w:val="28"/>
          <w:rtl/>
        </w:rPr>
      </w:pPr>
    </w:p>
    <w:p w14:paraId="2EABC289" w14:textId="0E52CA27" w:rsidR="001233ED" w:rsidRDefault="001233ED" w:rsidP="001233ED">
      <w:pPr>
        <w:bidi/>
        <w:jc w:val="both"/>
        <w:rPr>
          <w:rFonts w:ascii="David" w:hAnsi="David" w:cs="David"/>
          <w:sz w:val="28"/>
          <w:szCs w:val="28"/>
          <w:rtl/>
        </w:rPr>
      </w:pPr>
    </w:p>
    <w:p w14:paraId="09E1C368" w14:textId="77777777" w:rsidR="001233ED" w:rsidRDefault="001233ED" w:rsidP="001233ED">
      <w:pPr>
        <w:bidi/>
        <w:jc w:val="both"/>
        <w:rPr>
          <w:rFonts w:ascii="David" w:hAnsi="David" w:cs="David"/>
          <w:sz w:val="28"/>
          <w:szCs w:val="28"/>
          <w:rtl/>
        </w:rPr>
      </w:pPr>
    </w:p>
    <w:p w14:paraId="16C682C6" w14:textId="5C21D743" w:rsidR="001233ED" w:rsidRPr="001233ED" w:rsidRDefault="001233ED" w:rsidP="001233ED">
      <w:pPr>
        <w:bidi/>
        <w:jc w:val="both"/>
        <w:rPr>
          <w:rFonts w:ascii="David" w:hAnsi="David" w:cs="David"/>
          <w:sz w:val="36"/>
          <w:szCs w:val="36"/>
          <w:u w:val="single"/>
          <w:rtl/>
        </w:rPr>
      </w:pPr>
      <w:r w:rsidRPr="001233ED">
        <w:rPr>
          <w:rFonts w:ascii="David" w:hAnsi="David" w:cs="David" w:hint="cs"/>
          <w:sz w:val="36"/>
          <w:szCs w:val="36"/>
          <w:u w:val="single"/>
          <w:rtl/>
        </w:rPr>
        <w:t>כל המעורר מחלוקת נידון בגיהנם</w:t>
      </w:r>
    </w:p>
    <w:p w14:paraId="72FAC83D" w14:textId="187C1657" w:rsidR="001233ED" w:rsidRDefault="001233ED" w:rsidP="001233ED">
      <w:pPr>
        <w:bidi/>
        <w:jc w:val="both"/>
        <w:rPr>
          <w:rFonts w:ascii="David" w:hAnsi="David" w:cs="David"/>
          <w:sz w:val="28"/>
          <w:szCs w:val="28"/>
          <w:rtl/>
        </w:rPr>
      </w:pPr>
      <w:r>
        <w:rPr>
          <w:rFonts w:ascii="David" w:hAnsi="David" w:cs="David" w:hint="cs"/>
          <w:sz w:val="28"/>
          <w:szCs w:val="28"/>
          <w:rtl/>
        </w:rPr>
        <w:t xml:space="preserve">עי' </w:t>
      </w:r>
      <w:r w:rsidRPr="00C562B7">
        <w:rPr>
          <w:rFonts w:ascii="David" w:hAnsi="David" w:cs="David"/>
          <w:b/>
          <w:bCs/>
          <w:sz w:val="28"/>
          <w:szCs w:val="28"/>
          <w:rtl/>
        </w:rPr>
        <w:t>רבינו בחיי</w:t>
      </w:r>
      <w:r w:rsidRPr="001233ED">
        <w:rPr>
          <w:rFonts w:ascii="David" w:hAnsi="David" w:cs="David"/>
          <w:sz w:val="28"/>
          <w:szCs w:val="28"/>
          <w:rtl/>
        </w:rPr>
        <w:t xml:space="preserve"> </w:t>
      </w:r>
      <w:r w:rsidRPr="00C562B7">
        <w:rPr>
          <w:rFonts w:ascii="David" w:hAnsi="David" w:cs="David" w:hint="cs"/>
          <w:sz w:val="24"/>
          <w:szCs w:val="24"/>
          <w:rtl/>
        </w:rPr>
        <w:t>(</w:t>
      </w:r>
      <w:r w:rsidRPr="00C562B7">
        <w:rPr>
          <w:rFonts w:ascii="David" w:hAnsi="David" w:cs="David"/>
          <w:sz w:val="24"/>
          <w:szCs w:val="24"/>
          <w:rtl/>
        </w:rPr>
        <w:t>בראשית פרק א פסוק ד</w:t>
      </w:r>
      <w:r w:rsidRPr="00C562B7">
        <w:rPr>
          <w:rFonts w:ascii="David" w:hAnsi="David" w:cs="David" w:hint="cs"/>
          <w:sz w:val="24"/>
          <w:szCs w:val="24"/>
          <w:rtl/>
        </w:rPr>
        <w:t xml:space="preserve">) </w:t>
      </w:r>
      <w:r>
        <w:rPr>
          <w:rFonts w:ascii="David" w:hAnsi="David" w:cs="David" w:hint="cs"/>
          <w:sz w:val="28"/>
          <w:szCs w:val="28"/>
          <w:rtl/>
        </w:rPr>
        <w:t>שכותב ''</w:t>
      </w:r>
      <w:bookmarkStart w:id="0" w:name="_Hlk130892218"/>
      <w:r w:rsidRPr="001233ED">
        <w:rPr>
          <w:rFonts w:ascii="David" w:hAnsi="David" w:cs="David"/>
          <w:sz w:val="28"/>
          <w:szCs w:val="28"/>
          <w:rtl/>
        </w:rPr>
        <w:t xml:space="preserve">ובמדרש: (ב"ר ד, ו) מפני מה לא נאמר כי טוב בשני, לפי שבו נברא גיהנם שנאמר: (ישעיה ל, לג) "כי ערוך מאתמול תפתה", יום שיש לו אתמול ואין לו שלשום, ועוד דרשו ז"ל: (שם) לפי שבו נברא המחלוקת שנאמר ויהי מבדיל בין מים למים. א"ר טביומי ומה מחלוקת שהוא לתקון העולם ולישובו לא כתיב בו "כי טוב", מחלוקת שהיא לערבובו של עולם לא כל שכן. ובאור הענין כי השני תחלת השנוי, ולכך נקרא שני, והוא הסבה לכל חלוקה ושנוי. </w:t>
      </w:r>
      <w:r w:rsidRPr="00CB1F53">
        <w:rPr>
          <w:rFonts w:ascii="David" w:hAnsi="David" w:cs="David"/>
          <w:sz w:val="28"/>
          <w:szCs w:val="28"/>
          <w:u w:val="single"/>
          <w:rtl/>
        </w:rPr>
        <w:t>ומה שאמרו כי המחלוקת וגיהנם נבראו בו ביום, להתבונן מזה שכל המעורר מחלוקת נדון בגיהנם</w:t>
      </w:r>
      <w:r w:rsidRPr="001233ED">
        <w:rPr>
          <w:rFonts w:ascii="David" w:hAnsi="David" w:cs="David"/>
          <w:sz w:val="28"/>
          <w:szCs w:val="28"/>
          <w:rtl/>
        </w:rPr>
        <w:t>, וכיון שהמחלוקת וגיהנם נבראו בו ביום למדנו שהוא יום מזיק, ולכך אסרו רז"ל להתחיל כל מלאכה בו, ואמרו: (זוהר תצא רפ"א ע"ב) אין מתחילין בשני, ולכך אסרו ג"כ לאכול זוגות כי הוא דבר מזיק, והוא שאמרו: (פסחים קט ב) לא יאכל אדם תרי ולא ישתה תרי, והמחלוקת הזה שהיה ביום שני היה תחלת כל מחלוקת וסבתה, ולכך לא נאמר בו "כי טוב" שהוא גרם הגורמים אחריו, וממנו והלאה היו החולקים והמשנים רצון השם יתברך, שהרי בשלישי אמר: תוצא הארץ "עץ פרי", והיא לא עשתה כן אלא עץ עושה פרי, וברביעי קטרגה הלבנה ואמרה א"א לשני מלכים שישתמשו בכתר אחד, ובחמישי נמלחה בת זוגו של לויתן, שכן דרשו רז"ל: (ב"ב עד ב) סרס את הזכר והרג את הנקבה ומלחה לצדיקים לעתיד לבא, ובששי חטאו אדם וחוה ונטרדו מגן עדן. וא"כ הרי מצינו בכל הימים אחר יום שני ענין קטרוג ושנוי כונה ופרוד רצון וחלוק דעות בנבראים וסבתם יום שני כי כלם באי כחו ונמשכים אחריו</w:t>
      </w:r>
      <w:r>
        <w:rPr>
          <w:rFonts w:ascii="David" w:hAnsi="David" w:cs="David" w:hint="cs"/>
          <w:sz w:val="28"/>
          <w:szCs w:val="28"/>
          <w:rtl/>
        </w:rPr>
        <w:t>''</w:t>
      </w:r>
      <w:r w:rsidRPr="001233ED">
        <w:rPr>
          <w:rFonts w:ascii="David" w:hAnsi="David" w:cs="David"/>
          <w:sz w:val="28"/>
          <w:szCs w:val="28"/>
          <w:rtl/>
        </w:rPr>
        <w:t>.</w:t>
      </w:r>
    </w:p>
    <w:p w14:paraId="188DCCD0" w14:textId="77777777" w:rsidR="002A29F4" w:rsidRDefault="002A29F4" w:rsidP="002A29F4">
      <w:pPr>
        <w:bidi/>
        <w:jc w:val="both"/>
        <w:rPr>
          <w:rFonts w:ascii="David" w:hAnsi="David" w:cs="David"/>
          <w:sz w:val="28"/>
          <w:szCs w:val="28"/>
          <w:rtl/>
        </w:rPr>
      </w:pPr>
    </w:p>
    <w:p w14:paraId="2BBE15A1" w14:textId="1FDA4437" w:rsidR="002A29F4" w:rsidRPr="002A29F4" w:rsidRDefault="002A29F4" w:rsidP="002A29F4">
      <w:pPr>
        <w:bidi/>
        <w:jc w:val="both"/>
        <w:rPr>
          <w:rFonts w:ascii="David" w:hAnsi="David" w:cs="David"/>
          <w:sz w:val="28"/>
          <w:szCs w:val="28"/>
          <w:u w:val="single"/>
          <w:rtl/>
        </w:rPr>
      </w:pPr>
      <w:r w:rsidRPr="002A29F4">
        <w:rPr>
          <w:rFonts w:ascii="David" w:hAnsi="David" w:cs="David" w:hint="cs"/>
          <w:sz w:val="36"/>
          <w:szCs w:val="36"/>
          <w:u w:val="single"/>
          <w:rtl/>
        </w:rPr>
        <w:t>מביא עונש עליו ולכן גם קטנים נענשים</w:t>
      </w:r>
    </w:p>
    <w:p w14:paraId="6B71D946" w14:textId="0202111C" w:rsidR="002A29F4" w:rsidRDefault="002A29F4" w:rsidP="002A29F4">
      <w:pPr>
        <w:bidi/>
        <w:jc w:val="both"/>
        <w:rPr>
          <w:rFonts w:ascii="David" w:hAnsi="David" w:cs="David"/>
          <w:sz w:val="28"/>
          <w:szCs w:val="28"/>
          <w:rtl/>
        </w:rPr>
      </w:pPr>
      <w:bookmarkStart w:id="1" w:name="_Hlk137936612"/>
      <w:bookmarkStart w:id="2" w:name="_Hlk137936390"/>
      <w:r>
        <w:rPr>
          <w:rFonts w:ascii="David" w:hAnsi="David" w:cs="David" w:hint="cs"/>
          <w:sz w:val="28"/>
          <w:szCs w:val="28"/>
          <w:rtl/>
        </w:rPr>
        <w:t xml:space="preserve">ועי' </w:t>
      </w:r>
      <w:r w:rsidRPr="002A29F4">
        <w:rPr>
          <w:rFonts w:ascii="David" w:hAnsi="David" w:cs="David" w:hint="cs"/>
          <w:b/>
          <w:bCs/>
          <w:sz w:val="28"/>
          <w:szCs w:val="28"/>
          <w:rtl/>
        </w:rPr>
        <w:t>המהר''ל</w:t>
      </w:r>
      <w:r>
        <w:rPr>
          <w:rFonts w:ascii="David" w:hAnsi="David" w:cs="David" w:hint="cs"/>
          <w:sz w:val="28"/>
          <w:szCs w:val="28"/>
          <w:rtl/>
        </w:rPr>
        <w:t xml:space="preserve"> </w:t>
      </w:r>
      <w:r w:rsidRPr="002A29F4">
        <w:rPr>
          <w:rFonts w:ascii="David" w:hAnsi="David" w:cs="David" w:hint="cs"/>
          <w:sz w:val="24"/>
          <w:szCs w:val="24"/>
          <w:rtl/>
        </w:rPr>
        <w:t>(</w:t>
      </w:r>
      <w:r w:rsidRPr="002A29F4">
        <w:rPr>
          <w:rFonts w:ascii="David" w:hAnsi="David" w:cs="David"/>
          <w:sz w:val="24"/>
          <w:szCs w:val="24"/>
          <w:rtl/>
        </w:rPr>
        <w:t>גור אריה</w:t>
      </w:r>
      <w:r w:rsidRPr="002A29F4">
        <w:rPr>
          <w:rFonts w:ascii="David" w:hAnsi="David" w:cs="David" w:hint="cs"/>
          <w:sz w:val="24"/>
          <w:szCs w:val="24"/>
          <w:rtl/>
        </w:rPr>
        <w:t xml:space="preserve">) </w:t>
      </w:r>
      <w:r>
        <w:rPr>
          <w:rFonts w:ascii="David" w:hAnsi="David" w:cs="David" w:hint="cs"/>
          <w:sz w:val="28"/>
          <w:szCs w:val="28"/>
          <w:rtl/>
        </w:rPr>
        <w:t xml:space="preserve">על פר' </w:t>
      </w:r>
      <w:r w:rsidRPr="002A29F4">
        <w:rPr>
          <w:rFonts w:ascii="David" w:hAnsi="David" w:cs="David" w:hint="cs"/>
          <w:b/>
          <w:bCs/>
          <w:sz w:val="28"/>
          <w:szCs w:val="28"/>
          <w:rtl/>
        </w:rPr>
        <w:t>קרח</w:t>
      </w:r>
      <w:r w:rsidRPr="002A29F4">
        <w:rPr>
          <w:rFonts w:ascii="David" w:hAnsi="David" w:cs="David"/>
          <w:sz w:val="28"/>
          <w:szCs w:val="28"/>
          <w:rtl/>
        </w:rPr>
        <w:t xml:space="preserve"> </w:t>
      </w:r>
      <w:r w:rsidRPr="002A29F4">
        <w:rPr>
          <w:rFonts w:ascii="David" w:hAnsi="David" w:cs="David" w:hint="cs"/>
          <w:sz w:val="24"/>
          <w:szCs w:val="24"/>
          <w:rtl/>
        </w:rPr>
        <w:t>(</w:t>
      </w:r>
      <w:r w:rsidRPr="002A29F4">
        <w:rPr>
          <w:rFonts w:ascii="David" w:hAnsi="David" w:cs="David"/>
          <w:sz w:val="24"/>
          <w:szCs w:val="24"/>
          <w:rtl/>
        </w:rPr>
        <w:t>פרק טז פסוק כז</w:t>
      </w:r>
      <w:r w:rsidRPr="002A29F4">
        <w:rPr>
          <w:rFonts w:ascii="David" w:hAnsi="David" w:cs="David" w:hint="cs"/>
          <w:sz w:val="24"/>
          <w:szCs w:val="24"/>
          <w:rtl/>
        </w:rPr>
        <w:t xml:space="preserve">) </w:t>
      </w:r>
      <w:r>
        <w:rPr>
          <w:rFonts w:ascii="David" w:hAnsi="David" w:cs="David" w:hint="cs"/>
          <w:sz w:val="28"/>
          <w:szCs w:val="28"/>
          <w:rtl/>
        </w:rPr>
        <w:t>שכותב ''</w:t>
      </w:r>
      <w:r w:rsidRPr="002A29F4">
        <w:rPr>
          <w:rFonts w:ascii="David" w:hAnsi="David" w:cs="David"/>
          <w:sz w:val="28"/>
          <w:szCs w:val="28"/>
          <w:rtl/>
        </w:rPr>
        <w:t>ואם תאמר, מאי שנא חטא זה מכל חטאים בעולם, שאין הקטן נענש</w:t>
      </w:r>
      <w:bookmarkEnd w:id="1"/>
      <w:r w:rsidRPr="002A29F4">
        <w:rPr>
          <w:rFonts w:ascii="David" w:hAnsi="David" w:cs="David"/>
          <w:sz w:val="28"/>
          <w:szCs w:val="28"/>
          <w:rtl/>
        </w:rPr>
        <w:t xml:space="preserve">. ויש לך לדעת עיקר הטעם, כי מה שאין הקטן נענש, כי אין הקדוש ברוך הוא מביא עונש על קטן. אבל במחלוקת, שגוף הגיהנום דבק במחלוקת, כי הגיהנום והמחלוקת נבראו ביום שני למעשה בראשית (ב"ר ד, ח), </w:t>
      </w:r>
      <w:r w:rsidRPr="002A29F4">
        <w:rPr>
          <w:rFonts w:ascii="David" w:hAnsi="David" w:cs="David"/>
          <w:sz w:val="28"/>
          <w:szCs w:val="28"/>
          <w:u w:val="single"/>
          <w:rtl/>
        </w:rPr>
        <w:t>להודיע כי המחלוקת הוא גוף הגיהנם, ולכך נענש אף הקטן, כי העונש בא מעצמו</w:t>
      </w:r>
      <w:r w:rsidRPr="002A29F4">
        <w:rPr>
          <w:rFonts w:ascii="David" w:hAnsi="David" w:cs="David"/>
          <w:sz w:val="28"/>
          <w:szCs w:val="28"/>
          <w:rtl/>
        </w:rPr>
        <w:t>. כי השם יתברך אין מעניש הקטן להביא עליו עונש, אבל עם המחלוקת עצמו הוא העונש, ואין צריך להביא עליו, והוא נענש. המשל; אם אמר אחד אני לא אהרוג אותך, אבל אם תהרוג את עצמך - אני לא עשיתי זה. כך ענין המחלוקת, כיון שנברא הגיהנום עם המחלוקת, הוא מביא עצמו לעונש, כי לא נקרא זה מביא עונש עליו, רק כל בעל מחלוקת מקומו המיוחד לו הוא הגיהנם, שהרי נברא עמו, אם כן הוא שייך לו</w:t>
      </w:r>
      <w:r>
        <w:rPr>
          <w:rFonts w:ascii="David" w:hAnsi="David" w:cs="David" w:hint="cs"/>
          <w:sz w:val="28"/>
          <w:szCs w:val="28"/>
          <w:rtl/>
        </w:rPr>
        <w:t>''.</w:t>
      </w:r>
    </w:p>
    <w:p w14:paraId="24571F8A" w14:textId="1491DB0D" w:rsidR="003A6BFD" w:rsidRDefault="003A6BFD" w:rsidP="003A6BFD">
      <w:pPr>
        <w:bidi/>
        <w:jc w:val="both"/>
        <w:rPr>
          <w:rFonts w:ascii="David" w:hAnsi="David" w:cs="David"/>
          <w:sz w:val="28"/>
          <w:szCs w:val="28"/>
          <w:rtl/>
        </w:rPr>
      </w:pPr>
    </w:p>
    <w:p w14:paraId="3A8D2DDB" w14:textId="416D6FA0" w:rsidR="003A6BFD" w:rsidRPr="003A6BFD" w:rsidRDefault="003A6BFD" w:rsidP="003A6BFD">
      <w:pPr>
        <w:bidi/>
        <w:jc w:val="both"/>
        <w:rPr>
          <w:rFonts w:ascii="David" w:hAnsi="David" w:cs="David"/>
          <w:sz w:val="36"/>
          <w:szCs w:val="36"/>
          <w:u w:val="single"/>
          <w:rtl/>
        </w:rPr>
      </w:pPr>
      <w:r w:rsidRPr="003A6BFD">
        <w:rPr>
          <w:rFonts w:ascii="David" w:hAnsi="David" w:cs="David" w:hint="cs"/>
          <w:sz w:val="36"/>
          <w:szCs w:val="36"/>
          <w:u w:val="single"/>
          <w:rtl/>
        </w:rPr>
        <w:t>מי שמעמיד דבריו על הדין בזה מצוי המחלוקת</w:t>
      </w:r>
    </w:p>
    <w:p w14:paraId="5FB742FD" w14:textId="44B85D60" w:rsidR="003A6BFD" w:rsidRPr="0077750B" w:rsidRDefault="003A6BFD" w:rsidP="003A6BFD">
      <w:pPr>
        <w:bidi/>
        <w:jc w:val="both"/>
        <w:rPr>
          <w:rFonts w:ascii="David" w:hAnsi="David" w:cs="David"/>
          <w:sz w:val="28"/>
          <w:szCs w:val="28"/>
          <w:rtl/>
        </w:rPr>
      </w:pPr>
      <w:r>
        <w:rPr>
          <w:rFonts w:ascii="David" w:hAnsi="David" w:cs="David" w:hint="cs"/>
          <w:sz w:val="28"/>
          <w:szCs w:val="28"/>
          <w:rtl/>
        </w:rPr>
        <w:t xml:space="preserve">ועי' </w:t>
      </w:r>
      <w:r w:rsidRPr="002A29F4">
        <w:rPr>
          <w:rFonts w:ascii="David" w:hAnsi="David" w:cs="David" w:hint="cs"/>
          <w:b/>
          <w:bCs/>
          <w:sz w:val="28"/>
          <w:szCs w:val="28"/>
          <w:rtl/>
        </w:rPr>
        <w:t>המהר''ל</w:t>
      </w:r>
      <w:r>
        <w:rPr>
          <w:rFonts w:ascii="David" w:hAnsi="David" w:cs="David" w:hint="cs"/>
          <w:sz w:val="28"/>
          <w:szCs w:val="28"/>
          <w:rtl/>
        </w:rPr>
        <w:t xml:space="preserve"> </w:t>
      </w:r>
      <w:r w:rsidRPr="002A29F4">
        <w:rPr>
          <w:rFonts w:ascii="David" w:hAnsi="David" w:cs="David" w:hint="cs"/>
          <w:sz w:val="24"/>
          <w:szCs w:val="24"/>
          <w:rtl/>
        </w:rPr>
        <w:t>(</w:t>
      </w:r>
      <w:r w:rsidRPr="002A29F4">
        <w:rPr>
          <w:rFonts w:ascii="David" w:hAnsi="David" w:cs="David"/>
          <w:sz w:val="24"/>
          <w:szCs w:val="24"/>
          <w:rtl/>
        </w:rPr>
        <w:t>גור אריה</w:t>
      </w:r>
      <w:r w:rsidRPr="002A29F4">
        <w:rPr>
          <w:rFonts w:ascii="David" w:hAnsi="David" w:cs="David" w:hint="cs"/>
          <w:sz w:val="24"/>
          <w:szCs w:val="24"/>
          <w:rtl/>
        </w:rPr>
        <w:t xml:space="preserve">) </w:t>
      </w:r>
      <w:r>
        <w:rPr>
          <w:rFonts w:ascii="David" w:hAnsi="David" w:cs="David" w:hint="cs"/>
          <w:sz w:val="28"/>
          <w:szCs w:val="28"/>
          <w:rtl/>
        </w:rPr>
        <w:t xml:space="preserve">על פר' </w:t>
      </w:r>
      <w:r w:rsidRPr="002A29F4">
        <w:rPr>
          <w:rFonts w:ascii="David" w:hAnsi="David" w:cs="David" w:hint="cs"/>
          <w:b/>
          <w:bCs/>
          <w:sz w:val="28"/>
          <w:szCs w:val="28"/>
          <w:rtl/>
        </w:rPr>
        <w:t>קרח</w:t>
      </w:r>
      <w:r w:rsidRPr="002A29F4">
        <w:rPr>
          <w:rFonts w:ascii="David" w:hAnsi="David" w:cs="David"/>
          <w:sz w:val="28"/>
          <w:szCs w:val="28"/>
          <w:rtl/>
        </w:rPr>
        <w:t xml:space="preserve"> </w:t>
      </w:r>
      <w:r w:rsidRPr="002A29F4">
        <w:rPr>
          <w:rFonts w:ascii="David" w:hAnsi="David" w:cs="David" w:hint="cs"/>
          <w:sz w:val="24"/>
          <w:szCs w:val="24"/>
          <w:rtl/>
        </w:rPr>
        <w:t>(</w:t>
      </w:r>
      <w:r w:rsidRPr="002A29F4">
        <w:rPr>
          <w:rFonts w:ascii="David" w:hAnsi="David" w:cs="David"/>
          <w:sz w:val="24"/>
          <w:szCs w:val="24"/>
          <w:rtl/>
        </w:rPr>
        <w:t>פרק טז פסוק כז</w:t>
      </w:r>
      <w:r w:rsidRPr="002A29F4">
        <w:rPr>
          <w:rFonts w:ascii="David" w:hAnsi="David" w:cs="David" w:hint="cs"/>
          <w:sz w:val="24"/>
          <w:szCs w:val="24"/>
          <w:rtl/>
        </w:rPr>
        <w:t xml:space="preserve">) </w:t>
      </w:r>
      <w:r>
        <w:rPr>
          <w:rFonts w:ascii="David" w:hAnsi="David" w:cs="David" w:hint="cs"/>
          <w:sz w:val="28"/>
          <w:szCs w:val="28"/>
          <w:rtl/>
        </w:rPr>
        <w:t>שכותב ''</w:t>
      </w:r>
      <w:r w:rsidRPr="002A29F4">
        <w:rPr>
          <w:rFonts w:ascii="David" w:hAnsi="David" w:cs="David"/>
          <w:sz w:val="28"/>
          <w:szCs w:val="28"/>
          <w:rtl/>
        </w:rPr>
        <w:t>ואם תאמר, מאי שנא חטא זה מכל חטאים בעולם, שאין הקטן נענש</w:t>
      </w:r>
      <w:r>
        <w:rPr>
          <w:rFonts w:ascii="David" w:hAnsi="David" w:cs="David" w:hint="cs"/>
          <w:sz w:val="28"/>
          <w:szCs w:val="28"/>
          <w:rtl/>
        </w:rPr>
        <w:t>...</w:t>
      </w:r>
      <w:r w:rsidRPr="0077750B">
        <w:rPr>
          <w:rFonts w:ascii="David" w:hAnsi="David" w:cs="David"/>
          <w:sz w:val="28"/>
          <w:szCs w:val="28"/>
          <w:rtl/>
        </w:rPr>
        <w:t xml:space="preserve">ועוד יש בזה דבר מופלא, והוא ענין ברור, </w:t>
      </w:r>
      <w:r w:rsidRPr="003A6BFD">
        <w:rPr>
          <w:rFonts w:ascii="David" w:hAnsi="David" w:cs="David"/>
          <w:sz w:val="28"/>
          <w:szCs w:val="28"/>
          <w:u w:val="single"/>
          <w:rtl/>
        </w:rPr>
        <w:t xml:space="preserve">וזה מפני כי יש נמצאים נכנסים לפנים משורת הדין, ואין באלו אנשים מחלוקת. ויש מעמידין דבריהם על </w:t>
      </w:r>
      <w:r w:rsidRPr="003A6BFD">
        <w:rPr>
          <w:rFonts w:ascii="David" w:hAnsi="David" w:cs="David"/>
          <w:sz w:val="28"/>
          <w:szCs w:val="28"/>
          <w:u w:val="single"/>
          <w:rtl/>
        </w:rPr>
        <w:lastRenderedPageBreak/>
        <w:t>הדין, ובזה מצוי המחלוקת</w:t>
      </w:r>
      <w:r w:rsidRPr="0077750B">
        <w:rPr>
          <w:rFonts w:ascii="David" w:hAnsi="David" w:cs="David"/>
          <w:sz w:val="28"/>
          <w:szCs w:val="28"/>
          <w:rtl/>
        </w:rPr>
        <w:t>. ויש עוד שאפילו אינו בדין להם, רק שיש להם שום ערעור, נכנסים במחלוקת, ואינם מוותרים. נמצא בעלי המחלוקת הכל דין. ומפני כך בית דין של מעלה דנין אותו בדין, כפי המדה אשר מחזיק בה בעלי מחלוקת. ואין לפטרו מפני כי אין דין על קטן ואין נוהגים עם הקטן בדין, אבל במקום שהוא מחזיק במחלוקת, שאינו מוותר, והוא כולו דין, אף בית דין של מעלה מענישין. והיינו דקאמר 'כמה קשה מחלוקת', כלומר שהמחלוקת דבר קשה, שאין ויתור לו, במה שהוא הכל דין. וכיון שהוא הכל דין, גם כן קטן חל עליו הדין. ודברים אלו ברורים אמתיים</w:t>
      </w:r>
      <w:r>
        <w:rPr>
          <w:rFonts w:ascii="David" w:hAnsi="David" w:cs="David" w:hint="cs"/>
          <w:sz w:val="28"/>
          <w:szCs w:val="28"/>
          <w:rtl/>
        </w:rPr>
        <w:t>''.</w:t>
      </w:r>
    </w:p>
    <w:p w14:paraId="661FFB68" w14:textId="77777777" w:rsidR="003A6BFD" w:rsidRDefault="003A6BFD" w:rsidP="003A6BFD">
      <w:pPr>
        <w:bidi/>
        <w:jc w:val="both"/>
        <w:rPr>
          <w:rFonts w:ascii="David" w:hAnsi="David" w:cs="David"/>
          <w:sz w:val="28"/>
          <w:szCs w:val="28"/>
          <w:rtl/>
        </w:rPr>
      </w:pPr>
    </w:p>
    <w:bookmarkEnd w:id="2"/>
    <w:p w14:paraId="2C525371" w14:textId="56C0B4C6" w:rsidR="00E429AC" w:rsidRPr="00E429AC" w:rsidRDefault="00E429AC" w:rsidP="00E429AC">
      <w:pPr>
        <w:bidi/>
        <w:jc w:val="both"/>
        <w:rPr>
          <w:rFonts w:ascii="David" w:hAnsi="David" w:cs="David"/>
          <w:sz w:val="36"/>
          <w:szCs w:val="36"/>
          <w:u w:val="single"/>
          <w:rtl/>
        </w:rPr>
      </w:pPr>
      <w:r w:rsidRPr="00E429AC">
        <w:rPr>
          <w:rFonts w:ascii="David" w:hAnsi="David" w:cs="David" w:hint="cs"/>
          <w:sz w:val="36"/>
          <w:szCs w:val="36"/>
          <w:u w:val="single"/>
          <w:rtl/>
        </w:rPr>
        <w:t>לפעמים היא טובה</w:t>
      </w:r>
    </w:p>
    <w:p w14:paraId="39E3F3E2" w14:textId="30F069DE" w:rsidR="00E429AC" w:rsidRDefault="00E429AC" w:rsidP="00E429AC">
      <w:pPr>
        <w:bidi/>
        <w:jc w:val="both"/>
        <w:rPr>
          <w:rFonts w:ascii="David" w:hAnsi="David" w:cs="David"/>
          <w:sz w:val="28"/>
          <w:szCs w:val="28"/>
          <w:rtl/>
        </w:rPr>
      </w:pPr>
      <w:bookmarkStart w:id="3" w:name="_Hlk132489294"/>
      <w:r>
        <w:rPr>
          <w:rFonts w:ascii="David" w:hAnsi="David" w:cs="David" w:hint="cs"/>
          <w:sz w:val="28"/>
          <w:szCs w:val="28"/>
          <w:rtl/>
        </w:rPr>
        <w:t xml:space="preserve">והנה, </w:t>
      </w:r>
      <w:r w:rsidRPr="00E429AC">
        <w:rPr>
          <w:rFonts w:ascii="David" w:hAnsi="David" w:cs="David" w:hint="cs"/>
          <w:b/>
          <w:bCs/>
          <w:sz w:val="28"/>
          <w:szCs w:val="28"/>
          <w:rtl/>
        </w:rPr>
        <w:t>במדרש</w:t>
      </w:r>
      <w:r>
        <w:rPr>
          <w:rFonts w:ascii="David" w:hAnsi="David" w:cs="David" w:hint="cs"/>
          <w:sz w:val="28"/>
          <w:szCs w:val="28"/>
          <w:rtl/>
        </w:rPr>
        <w:t xml:space="preserve"> על פר' </w:t>
      </w:r>
      <w:r w:rsidRPr="00E429AC">
        <w:rPr>
          <w:rFonts w:ascii="David" w:hAnsi="David" w:cs="David" w:hint="cs"/>
          <w:b/>
          <w:bCs/>
          <w:sz w:val="28"/>
          <w:szCs w:val="28"/>
          <w:rtl/>
        </w:rPr>
        <w:t>בראשית</w:t>
      </w:r>
      <w:r>
        <w:rPr>
          <w:rFonts w:ascii="David" w:hAnsi="David" w:cs="David" w:hint="cs"/>
          <w:sz w:val="28"/>
          <w:szCs w:val="28"/>
          <w:rtl/>
        </w:rPr>
        <w:t xml:space="preserve"> </w:t>
      </w:r>
      <w:r w:rsidRPr="00E429AC">
        <w:rPr>
          <w:rFonts w:ascii="David" w:hAnsi="David" w:cs="David" w:hint="cs"/>
          <w:sz w:val="24"/>
          <w:szCs w:val="24"/>
          <w:rtl/>
        </w:rPr>
        <w:t xml:space="preserve">(א, ז) </w:t>
      </w:r>
      <w:r>
        <w:rPr>
          <w:rFonts w:ascii="David" w:hAnsi="David" w:cs="David" w:hint="cs"/>
          <w:sz w:val="28"/>
          <w:szCs w:val="28"/>
          <w:rtl/>
        </w:rPr>
        <w:t>מבואר שמה שלא נאמר 'כי טוב' ביום שני הוא משום שנעשתה בו הבדלה בין מים העליונים למים התחתונים.</w:t>
      </w:r>
    </w:p>
    <w:p w14:paraId="121A2EF6" w14:textId="17495E89" w:rsidR="00E429AC" w:rsidRDefault="00E429AC" w:rsidP="00E429AC">
      <w:pPr>
        <w:bidi/>
        <w:jc w:val="both"/>
        <w:rPr>
          <w:rFonts w:ascii="David" w:hAnsi="David" w:cs="David"/>
          <w:sz w:val="28"/>
          <w:szCs w:val="28"/>
          <w:rtl/>
        </w:rPr>
      </w:pPr>
      <w:r>
        <w:rPr>
          <w:rFonts w:ascii="David" w:hAnsi="David" w:cs="David" w:hint="cs"/>
          <w:sz w:val="28"/>
          <w:szCs w:val="28"/>
          <w:rtl/>
        </w:rPr>
        <w:t>ושואלים המפרשים, הרי גם ביום רביעי נעשתה הבדלה בין האור לחושך, ושם לא נמנע הכתוב מלומר 'כי טוב'.</w:t>
      </w:r>
    </w:p>
    <w:p w14:paraId="74BC5C72" w14:textId="65D03D00" w:rsidR="00E429AC" w:rsidRDefault="00E429AC" w:rsidP="00E429AC">
      <w:pPr>
        <w:bidi/>
        <w:jc w:val="both"/>
        <w:rPr>
          <w:rFonts w:ascii="David" w:hAnsi="David" w:cs="David"/>
          <w:sz w:val="28"/>
          <w:szCs w:val="28"/>
          <w:rtl/>
        </w:rPr>
      </w:pPr>
      <w:r>
        <w:rPr>
          <w:rFonts w:ascii="David" w:hAnsi="David" w:cs="David" w:hint="cs"/>
          <w:sz w:val="28"/>
          <w:szCs w:val="28"/>
          <w:rtl/>
        </w:rPr>
        <w:t xml:space="preserve">ועי' בספר </w:t>
      </w:r>
      <w:r w:rsidRPr="00E429AC">
        <w:rPr>
          <w:rFonts w:ascii="David" w:hAnsi="David" w:cs="David" w:hint="cs"/>
          <w:b/>
          <w:bCs/>
          <w:sz w:val="28"/>
          <w:szCs w:val="28"/>
          <w:rtl/>
        </w:rPr>
        <w:t>מעיינה של תורה</w:t>
      </w:r>
      <w:r>
        <w:rPr>
          <w:rFonts w:ascii="David" w:hAnsi="David" w:cs="David" w:hint="cs"/>
          <w:sz w:val="28"/>
          <w:szCs w:val="28"/>
          <w:rtl/>
        </w:rPr>
        <w:t xml:space="preserve"> </w:t>
      </w:r>
      <w:r w:rsidRPr="00E429AC">
        <w:rPr>
          <w:rFonts w:ascii="David" w:hAnsi="David" w:cs="David" w:hint="cs"/>
          <w:sz w:val="24"/>
          <w:szCs w:val="24"/>
          <w:rtl/>
        </w:rPr>
        <w:t xml:space="preserve">(על בראשית עמ' יא) </w:t>
      </w:r>
      <w:r>
        <w:rPr>
          <w:rFonts w:ascii="David" w:hAnsi="David" w:cs="David" w:hint="cs"/>
          <w:sz w:val="28"/>
          <w:szCs w:val="28"/>
          <w:rtl/>
        </w:rPr>
        <w:t>שאומר תירוץ נפלא ע''ז מפי השמועה, שהפירוד הוא דבר לא טוב כאשר מחלקים דבר אחד, אבל אם מחלקים שני דברים מנוגדים [כמו אור וחושך] ההבדל ביניהם הוא באמת רצוי וטוב, משום שאור וחושך אינם יכולים לדור בכפיפה אחת.</w:t>
      </w:r>
    </w:p>
    <w:p w14:paraId="3DAF1907" w14:textId="36A431AF" w:rsidR="00E429AC" w:rsidRDefault="00E429AC" w:rsidP="00E429AC">
      <w:pPr>
        <w:bidi/>
        <w:jc w:val="both"/>
        <w:rPr>
          <w:rFonts w:ascii="David" w:hAnsi="David" w:cs="David"/>
          <w:sz w:val="28"/>
          <w:szCs w:val="28"/>
          <w:rtl/>
        </w:rPr>
      </w:pPr>
      <w:r>
        <w:rPr>
          <w:rFonts w:ascii="David" w:hAnsi="David" w:cs="David" w:hint="cs"/>
          <w:sz w:val="28"/>
          <w:szCs w:val="28"/>
          <w:rtl/>
        </w:rPr>
        <w:t>לכן בני אדם בעלי דעה אחידה צריכים להיות מאוחדים, והפירוד ביניהם הוא סימן לרעה, ואילו פירוד בין הטובים ורעים הוא דווקא סימן לטובה.</w:t>
      </w:r>
    </w:p>
    <w:p w14:paraId="5412DE2A" w14:textId="72F1A0A9" w:rsidR="00A42575" w:rsidRDefault="00A42575" w:rsidP="00A42575">
      <w:pPr>
        <w:bidi/>
        <w:jc w:val="both"/>
        <w:rPr>
          <w:rFonts w:ascii="David" w:hAnsi="David" w:cs="David"/>
          <w:sz w:val="28"/>
          <w:szCs w:val="28"/>
          <w:rtl/>
        </w:rPr>
      </w:pPr>
      <w:r>
        <w:rPr>
          <w:rFonts w:ascii="David" w:hAnsi="David" w:cs="David" w:hint="cs"/>
          <w:sz w:val="28"/>
          <w:szCs w:val="28"/>
          <w:rtl/>
        </w:rPr>
        <w:t xml:space="preserve">ואני חשבתי לומר קצת בדרך אחרת, לפי מה שכתב </w:t>
      </w:r>
      <w:r w:rsidRPr="00A42575">
        <w:rPr>
          <w:rFonts w:ascii="David" w:hAnsi="David" w:cs="David" w:hint="cs"/>
          <w:b/>
          <w:bCs/>
          <w:sz w:val="28"/>
          <w:szCs w:val="28"/>
          <w:rtl/>
        </w:rPr>
        <w:t>הרבינו בחיי</w:t>
      </w:r>
      <w:r>
        <w:rPr>
          <w:rFonts w:ascii="David" w:hAnsi="David" w:cs="David" w:hint="cs"/>
          <w:sz w:val="28"/>
          <w:szCs w:val="28"/>
          <w:rtl/>
        </w:rPr>
        <w:t xml:space="preserve"> </w:t>
      </w:r>
      <w:r w:rsidRPr="00A42575">
        <w:rPr>
          <w:rFonts w:ascii="David" w:hAnsi="David" w:cs="David" w:hint="cs"/>
          <w:sz w:val="24"/>
          <w:szCs w:val="24"/>
          <w:rtl/>
        </w:rPr>
        <w:t xml:space="preserve">(שם) </w:t>
      </w:r>
      <w:r>
        <w:rPr>
          <w:rFonts w:ascii="David" w:hAnsi="David" w:cs="David" w:hint="cs"/>
          <w:sz w:val="28"/>
          <w:szCs w:val="28"/>
          <w:rtl/>
        </w:rPr>
        <w:t>וז''ל ''</w:t>
      </w:r>
      <w:r w:rsidRPr="00A42575">
        <w:rPr>
          <w:rFonts w:ascii="David" w:hAnsi="David" w:cs="David"/>
          <w:sz w:val="28"/>
          <w:szCs w:val="28"/>
          <w:rtl/>
        </w:rPr>
        <w:t>ובמדרש: (ב"ר ד, ו) מפני מה לא נאמר כי טוב בשני, לפי שבו נברא גיהנם שנאמר: (ישעיה ל, לג) "כי ערוך מאתמול תפתה", יום שיש לו אתמול ואין לו שלשום, ועוד דרשו ז"ל: (שם) לפי שבו נברא המחלוקת שנאמר ויהי מבדיל בין מים למים. א"ר טביומי ומה מחלוקת שהוא לתקון העולם ולישובו לא כתיב בו "כי טוב", מחלוקת שהיא לערבובו של עולם לא כל שכן. ובאור הענין כי השני תחלת השנוי, ולכך נקרא שני, והוא הסבה לכל חלוקה ושנוי. ומה שאמרו כי המחלוקת וגיהנם נבראו בו ביום, להתבונן מזה שכל המעורר מחלוקת נדון בגיהנם, וכיון שהמחלוקת וגיהנם נבראו בו ביום למדנו שהוא יום מזיק, ולכך אסרו רז"ל להתחיל כל מלאכה בו, ואמרו: (זוהר תצא רפ"א ע"ב) אין מתחילין בשני, ולכך אסרו ג"כ לאכול זוגות כי הוא דבר מזיק, והוא שאמרו: (פסחים קט ב) לא יאכל אדם תרי ולא ישתה תרי, והמחלוקת הזה שהיה ביום שני היה תחלת כל מחלוקת וסבתה, ולכך לא נאמר בו "כי טוב" שהוא גרם הגורמים אחריו, וממנו והלאה היו החולקים והמשנים רצון השם יתברך, שהרי בשלישי אמר: תוצא הארץ "עץ פרי", והיא לא עשתה כן אלא עץ עושה פרי, וברביעי קטרגה הלבנה ואמרה א"א לשני מלכים שישתמשו בכתר אחד, ובחמישי נמלחה בת זוגו של לויתן, שכן דרשו רז"ל: (ב"ב עד ב) סרס את הזכר והרג את הנקבה ומלחה לצדיקים לעתיד לבא, ובששי חטאו אדם וחוה ונטרדו מגן עדן. וא"כ הרי מצינו בכל הימים אחר יום שני ענין קטרוג ושנוי כונה ופרוד רצון וחלוק דעות בנבראים וסבתם יום שני כי כלם באי כחו ונמשכים אחריו</w:t>
      </w:r>
      <w:r>
        <w:rPr>
          <w:rFonts w:ascii="David" w:hAnsi="David" w:cs="David" w:hint="cs"/>
          <w:sz w:val="28"/>
          <w:szCs w:val="28"/>
          <w:rtl/>
        </w:rPr>
        <w:t xml:space="preserve">'', ולפי זה אפשר לתרץ שבאמת לא אמרו 'כי טוב' רק על הפעם הראשונה שהיה חלוקה בעולם, כי זה  גרם מחלוקות אחרות. </w:t>
      </w:r>
    </w:p>
    <w:p w14:paraId="3AAD6489" w14:textId="3195EE26" w:rsidR="00A26C55" w:rsidRDefault="00A26C55" w:rsidP="00A26C55">
      <w:pPr>
        <w:bidi/>
        <w:jc w:val="both"/>
        <w:rPr>
          <w:rFonts w:ascii="David" w:hAnsi="David" w:cs="David"/>
          <w:sz w:val="28"/>
          <w:szCs w:val="28"/>
          <w:rtl/>
        </w:rPr>
      </w:pPr>
    </w:p>
    <w:p w14:paraId="5FDDEF36" w14:textId="20E1A021" w:rsidR="00A26C55" w:rsidRPr="00A26C55" w:rsidRDefault="00A26C55" w:rsidP="00A26C55">
      <w:pPr>
        <w:bidi/>
        <w:jc w:val="both"/>
        <w:rPr>
          <w:rFonts w:ascii="David" w:hAnsi="David" w:cs="David"/>
          <w:sz w:val="36"/>
          <w:szCs w:val="36"/>
          <w:u w:val="single"/>
          <w:rtl/>
        </w:rPr>
      </w:pPr>
      <w:r w:rsidRPr="00A26C55">
        <w:rPr>
          <w:rFonts w:ascii="David" w:hAnsi="David" w:cs="David" w:hint="cs"/>
          <w:sz w:val="36"/>
          <w:szCs w:val="36"/>
          <w:u w:val="single"/>
          <w:rtl/>
        </w:rPr>
        <w:t>כל היוצא לריב מהר ודאי הוא פגום</w:t>
      </w:r>
    </w:p>
    <w:p w14:paraId="15EBDE6D" w14:textId="0CB5B2B8" w:rsidR="00A26C55" w:rsidRDefault="00A26C55" w:rsidP="00A26C55">
      <w:pPr>
        <w:bidi/>
        <w:jc w:val="both"/>
        <w:rPr>
          <w:rFonts w:ascii="David" w:hAnsi="David" w:cs="David"/>
          <w:sz w:val="28"/>
          <w:szCs w:val="28"/>
          <w:rtl/>
        </w:rPr>
      </w:pPr>
      <w:r>
        <w:rPr>
          <w:rFonts w:ascii="David" w:hAnsi="David" w:cs="David" w:hint="cs"/>
          <w:sz w:val="28"/>
          <w:szCs w:val="28"/>
          <w:rtl/>
        </w:rPr>
        <w:lastRenderedPageBreak/>
        <w:t xml:space="preserve">על הפסוק בפר' </w:t>
      </w:r>
      <w:r w:rsidRPr="00A26C55">
        <w:rPr>
          <w:rFonts w:ascii="David" w:hAnsi="David" w:cs="David" w:hint="cs"/>
          <w:b/>
          <w:bCs/>
          <w:sz w:val="28"/>
          <w:szCs w:val="28"/>
          <w:rtl/>
        </w:rPr>
        <w:t>אמור</w:t>
      </w:r>
      <w:r>
        <w:rPr>
          <w:rFonts w:ascii="David" w:hAnsi="David" w:cs="David" w:hint="cs"/>
          <w:sz w:val="28"/>
          <w:szCs w:val="28"/>
          <w:rtl/>
        </w:rPr>
        <w:t xml:space="preserve"> </w:t>
      </w:r>
      <w:r w:rsidRPr="00A26C55">
        <w:rPr>
          <w:rFonts w:ascii="David" w:hAnsi="David" w:cs="David" w:hint="cs"/>
          <w:sz w:val="24"/>
          <w:szCs w:val="24"/>
          <w:rtl/>
        </w:rPr>
        <w:t xml:space="preserve">(כד, י) </w:t>
      </w:r>
      <w:r>
        <w:rPr>
          <w:rFonts w:ascii="David" w:hAnsi="David" w:cs="David" w:hint="cs"/>
          <w:sz w:val="28"/>
          <w:szCs w:val="28"/>
          <w:rtl/>
        </w:rPr>
        <w:t>''</w:t>
      </w:r>
      <w:r w:rsidRPr="00A26C55">
        <w:rPr>
          <w:rFonts w:ascii="David" w:hAnsi="David" w:cs="David"/>
          <w:sz w:val="28"/>
          <w:szCs w:val="28"/>
          <w:rtl/>
        </w:rPr>
        <w:t>וַיֵּצֵא בֶּן אִשָּׁה יִשְׂרְאֵלִית וְהוּא בֶּן אִישׁ מִצְרִי בְּתוֹךְ בְּנֵי יִשְׂרָאֵל וַיִּנָּצוּ בַּמַּחֲנֶה בֶּן הַיִּשְׂרְאֵלִית וְאִישׁ הַיִּשְׂרְאֵלִי</w:t>
      </w:r>
      <w:r>
        <w:rPr>
          <w:rFonts w:ascii="David" w:hAnsi="David" w:cs="David" w:hint="cs"/>
          <w:sz w:val="28"/>
          <w:szCs w:val="28"/>
          <w:rtl/>
        </w:rPr>
        <w:t xml:space="preserve">'', כותב </w:t>
      </w:r>
      <w:r w:rsidRPr="00A26C55">
        <w:rPr>
          <w:rFonts w:ascii="David" w:hAnsi="David" w:cs="David" w:hint="cs"/>
          <w:b/>
          <w:bCs/>
          <w:sz w:val="28"/>
          <w:szCs w:val="28"/>
          <w:rtl/>
        </w:rPr>
        <w:t>הכלי יקר</w:t>
      </w:r>
      <w:r w:rsidRPr="00A26C55">
        <w:rPr>
          <w:rFonts w:ascii="David" w:hAnsi="David" w:cs="David"/>
          <w:sz w:val="28"/>
          <w:szCs w:val="28"/>
          <w:rtl/>
        </w:rPr>
        <w:t xml:space="preserve"> </w:t>
      </w:r>
      <w:r>
        <w:rPr>
          <w:rFonts w:ascii="David" w:hAnsi="David" w:cs="David" w:hint="cs"/>
          <w:sz w:val="28"/>
          <w:szCs w:val="28"/>
          <w:rtl/>
        </w:rPr>
        <w:t>וז''ל ''</w:t>
      </w:r>
      <w:r w:rsidRPr="00A26C55">
        <w:rPr>
          <w:rFonts w:ascii="David" w:hAnsi="David" w:cs="David"/>
          <w:sz w:val="28"/>
          <w:szCs w:val="28"/>
          <w:rtl/>
        </w:rPr>
        <w:t>לא פרט הכתוב שם של אחד מהם להורות שהיו שניהם פגומים, כי כל היוצא לריב מהר ודאי הוא פגום ואינו מן האנשים הנודעים בשמם לשם ולתהלה, אלא מן הפחותים אנשי בליעל גם בני בלי שם ולא היה בהם כי אם שם היחוס של אבותם שזה היה בן ישראלית וזה איש ישראלי, וע"כ נאמר וינצו במחנה כי שניהם היו בעלי מצה ומריבה ונתגלגל חובה על ידי חייב כי ע"י שזה הישראלי נכנס עמו במריבה גרם לו לגדף השם הנכבד. וקצת ראיה לזה ממה שנאמר ואל בני ישראל תדבר לאמר איש איש יקלל אלהיו וגו'. ואיך הכניס בדבור זה מאמר ואיש כי יכה כל נפש אדם. וכן פסוק ואיש כי יתן מום בעמיתו וגו'. ועוד שפסוק זה כולו מיותר שהרי נאמר אח"כ בפירוש שבר תחת שבר וגו'</w:t>
      </w:r>
      <w:r>
        <w:rPr>
          <w:rFonts w:ascii="David" w:hAnsi="David" w:cs="David" w:hint="cs"/>
          <w:sz w:val="28"/>
          <w:szCs w:val="28"/>
          <w:rtl/>
        </w:rPr>
        <w:t>''.</w:t>
      </w:r>
    </w:p>
    <w:p w14:paraId="4E638776" w14:textId="77777777" w:rsidR="00C40C49" w:rsidRDefault="00C40C49" w:rsidP="00C40C49">
      <w:pPr>
        <w:bidi/>
        <w:jc w:val="both"/>
        <w:rPr>
          <w:rFonts w:ascii="David" w:hAnsi="David" w:cs="David"/>
          <w:sz w:val="28"/>
          <w:szCs w:val="28"/>
          <w:rtl/>
        </w:rPr>
      </w:pPr>
    </w:p>
    <w:p w14:paraId="2EFF1925" w14:textId="53B090A2" w:rsidR="00C40C49" w:rsidRPr="00C40C49" w:rsidRDefault="00C40C49" w:rsidP="00C40C49">
      <w:pPr>
        <w:bidi/>
        <w:jc w:val="both"/>
        <w:rPr>
          <w:rFonts w:ascii="David" w:hAnsi="David" w:cs="David"/>
          <w:sz w:val="36"/>
          <w:szCs w:val="36"/>
          <w:u w:val="single"/>
          <w:rtl/>
        </w:rPr>
      </w:pPr>
      <w:r w:rsidRPr="00C40C49">
        <w:rPr>
          <w:rFonts w:ascii="David" w:hAnsi="David" w:cs="David" w:hint="cs"/>
          <w:sz w:val="36"/>
          <w:szCs w:val="36"/>
          <w:u w:val="single"/>
          <w:rtl/>
        </w:rPr>
        <w:t>מחלקות לש''ש ושאינה לש''ש מאי הם</w:t>
      </w:r>
    </w:p>
    <w:p w14:paraId="24C803B0" w14:textId="77777777" w:rsidR="00C40C49" w:rsidRDefault="00C40C49" w:rsidP="00C40C49">
      <w:pPr>
        <w:bidi/>
        <w:jc w:val="both"/>
        <w:rPr>
          <w:rFonts w:ascii="David" w:hAnsi="David" w:cs="David"/>
          <w:sz w:val="28"/>
          <w:szCs w:val="28"/>
          <w:rtl/>
        </w:rPr>
      </w:pPr>
      <w:r>
        <w:rPr>
          <w:rFonts w:ascii="David" w:hAnsi="David" w:cs="David" w:hint="cs"/>
          <w:sz w:val="28"/>
          <w:szCs w:val="28"/>
          <w:rtl/>
        </w:rPr>
        <w:t xml:space="preserve">איתא </w:t>
      </w:r>
      <w:r w:rsidRPr="00E169EF">
        <w:rPr>
          <w:rFonts w:ascii="David" w:hAnsi="David" w:cs="David" w:hint="cs"/>
          <w:b/>
          <w:bCs/>
          <w:sz w:val="28"/>
          <w:szCs w:val="28"/>
          <w:rtl/>
        </w:rPr>
        <w:t>באבות</w:t>
      </w:r>
      <w:r>
        <w:rPr>
          <w:rFonts w:ascii="David" w:hAnsi="David" w:cs="David" w:hint="cs"/>
          <w:sz w:val="28"/>
          <w:szCs w:val="28"/>
          <w:rtl/>
        </w:rPr>
        <w:t xml:space="preserve"> </w:t>
      </w:r>
      <w:r w:rsidRPr="008B04EE">
        <w:rPr>
          <w:rFonts w:ascii="David" w:hAnsi="David" w:cs="David" w:hint="cs"/>
          <w:sz w:val="24"/>
          <w:szCs w:val="24"/>
          <w:rtl/>
        </w:rPr>
        <w:t xml:space="preserve">(ה, יז) </w:t>
      </w:r>
      <w:r>
        <w:rPr>
          <w:rFonts w:ascii="David" w:hAnsi="David" w:cs="David" w:hint="cs"/>
          <w:sz w:val="28"/>
          <w:szCs w:val="28"/>
          <w:rtl/>
        </w:rPr>
        <w:t>''</w:t>
      </w:r>
      <w:r w:rsidRPr="00E169EF">
        <w:rPr>
          <w:rFonts w:ascii="David" w:hAnsi="David" w:cs="David"/>
          <w:sz w:val="28"/>
          <w:szCs w:val="28"/>
          <w:rtl/>
        </w:rPr>
        <w:t>כָּל מַחֲלֹקֶת שֶׁהִיא לְשֵׁם שָׁמַיִם, סוֹפָהּ לְהִתְקַיֵּם. וְשֶׁאֵינָהּ לְשֵׁם שָׁמַיִם, אֵין סוֹפָהּ לְהִתְקַיֵּם. אֵיזוֹ הִיא מַחֲלֹקֶת שֶׁהִיא לְשֵׁם שָׁמַיִם, זוֹ מַחֲלֹקֶת הִלֵּל וְשַׁמַּאי. וְשֶׁאֵינָהּ לְשֵׁם שָׁמַיִם, זוֹ מַחֲלֹקֶת קֹרַח וְכָל עֲדָתוֹ</w:t>
      </w:r>
      <w:r>
        <w:rPr>
          <w:rFonts w:ascii="David" w:hAnsi="David" w:cs="David" w:hint="cs"/>
          <w:sz w:val="28"/>
          <w:szCs w:val="28"/>
          <w:rtl/>
        </w:rPr>
        <w:t>''.</w:t>
      </w:r>
    </w:p>
    <w:p w14:paraId="7DC1C086" w14:textId="10DFEDF6" w:rsidR="00C40C49" w:rsidRDefault="00C40C49" w:rsidP="00C40C49">
      <w:pPr>
        <w:bidi/>
        <w:jc w:val="both"/>
        <w:rPr>
          <w:rFonts w:ascii="David" w:hAnsi="David" w:cs="David"/>
          <w:sz w:val="28"/>
          <w:szCs w:val="28"/>
          <w:rtl/>
        </w:rPr>
      </w:pPr>
      <w:r>
        <w:rPr>
          <w:rFonts w:ascii="David" w:hAnsi="David" w:cs="David" w:hint="cs"/>
          <w:sz w:val="28"/>
          <w:szCs w:val="28"/>
          <w:rtl/>
        </w:rPr>
        <w:t xml:space="preserve">וכותב </w:t>
      </w:r>
      <w:r w:rsidRPr="00E169EF">
        <w:rPr>
          <w:rFonts w:ascii="David" w:hAnsi="David" w:cs="David" w:hint="cs"/>
          <w:b/>
          <w:bCs/>
          <w:sz w:val="28"/>
          <w:szCs w:val="28"/>
          <w:rtl/>
        </w:rPr>
        <w:t>הברטנורא</w:t>
      </w:r>
      <w:r w:rsidRPr="00E169EF">
        <w:rPr>
          <w:rFonts w:ascii="David" w:hAnsi="David" w:cs="David"/>
          <w:sz w:val="28"/>
          <w:szCs w:val="28"/>
          <w:rtl/>
        </w:rPr>
        <w:t xml:space="preserve"> </w:t>
      </w:r>
      <w:r>
        <w:rPr>
          <w:rFonts w:ascii="David" w:hAnsi="David" w:cs="David" w:hint="cs"/>
          <w:sz w:val="28"/>
          <w:szCs w:val="28"/>
          <w:rtl/>
        </w:rPr>
        <w:t>''</w:t>
      </w:r>
      <w:r w:rsidRPr="009A3A26">
        <w:rPr>
          <w:rFonts w:ascii="David" w:hAnsi="David" w:cs="David"/>
          <w:sz w:val="28"/>
          <w:szCs w:val="28"/>
          <w:rtl/>
        </w:rPr>
        <w:t>כְּלוֹמַר שֶׁאַנְשֵׁי הַמַּחֲלֹקֶת הַהִיא מִתְקַיְּמִים וְאֵינָם אוֹבְדִין, כְּמַחֲלֹקֶת הִלֵּל וְשַׁמַּאי שֶׁלֹּא אָבְדוּ לֹא תַּלְמִידֵי בֵּית שַׁמַּאי וְלֹא תַּלְמִידֵי בֵּית הִלֵּל. אֲבָל קֹרַח וַעֲדָתוֹ אָבְדוּ. וַאֲנִי שָׁמַעְתִּי, פֵּרוּשׁ סוֹפָהּ, תַּכְלִיתָהּ הַמְבֻקָּשׁ מֵעִנְיָנָהּ. וְהַמַּחֲלֹקֶת שֶׁהִיא לְשֵׁם שָׁמַיִם, הַתַּכְלִית וְהַסּוֹף הַמְבֻקָּשׁ מֵאוֹתָהּ מַחֲלֹקֶת לְהַשִּׂיג הָאֱמֶת, וְזֶה מִתְקַיֵּם, כְּמוֹ שֶׁאָמְרוּ מִתּוֹךְ הַוִּכּוּחַ יִתְבָּרֵר הָאֱמֶת, וּכְמוֹ שֶׁנִּתְבָּאֵר בְּמַחֲלֹקֶת הִלֵּל וְשַׁמַּאי שֶׁהֲלָכָה כְּבֵית הִלֵּל. וּמַחֲלֹקֶת שֶׁאֵינָהּ לְשֵׁם שָׁמַיִם, תַּכְלִית הַנִּרְצֶה בָּהּ הִיא בַּקָּשַׁת הַשְּׂרָרָה וְאַהֲבַת הַנִּצּוּחַ, וְזֶה הַסּוֹף אֵינוֹ מִתְקַיֵּם, כְּמוֹ שֶׁמָּצִינוּ בְּמַחֲלֹקֶת קֹרַח וַעֲדָתוֹ שֶׁתַּכְלִית וְסוֹף כַּוָּנָתָם הָיְתָה בַּקָּשַׁת הַכָּבוֹד וְהַשְּׂרָרָה וְהָיוּ לְהֶפֶךְ</w:t>
      </w:r>
      <w:r>
        <w:rPr>
          <w:rFonts w:ascii="David" w:hAnsi="David" w:cs="David" w:hint="cs"/>
          <w:sz w:val="28"/>
          <w:szCs w:val="28"/>
          <w:rtl/>
        </w:rPr>
        <w:t>''.</w:t>
      </w:r>
    </w:p>
    <w:p w14:paraId="749E512E" w14:textId="47A4955C" w:rsidR="00C40C49" w:rsidRPr="00C40C49" w:rsidRDefault="00C40C49" w:rsidP="00C40C49">
      <w:pPr>
        <w:bidi/>
        <w:jc w:val="both"/>
        <w:rPr>
          <w:rFonts w:ascii="David" w:hAnsi="David" w:cs="David"/>
          <w:sz w:val="28"/>
          <w:szCs w:val="28"/>
          <w:rtl/>
        </w:rPr>
      </w:pPr>
      <w:r>
        <w:rPr>
          <w:rFonts w:ascii="David" w:hAnsi="David" w:cs="David" w:hint="cs"/>
          <w:sz w:val="28"/>
          <w:szCs w:val="28"/>
          <w:rtl/>
        </w:rPr>
        <w:t xml:space="preserve">וכותב </w:t>
      </w:r>
      <w:r w:rsidRPr="00C40C49">
        <w:rPr>
          <w:rFonts w:ascii="David" w:hAnsi="David" w:cs="David" w:hint="cs"/>
          <w:b/>
          <w:bCs/>
          <w:sz w:val="28"/>
          <w:szCs w:val="28"/>
          <w:rtl/>
        </w:rPr>
        <w:t>היכין</w:t>
      </w:r>
      <w:r>
        <w:rPr>
          <w:rFonts w:ascii="David" w:hAnsi="David" w:cs="David" w:hint="cs"/>
          <w:sz w:val="28"/>
          <w:szCs w:val="28"/>
          <w:rtl/>
        </w:rPr>
        <w:t xml:space="preserve"> ''</w:t>
      </w:r>
      <w:r w:rsidRPr="00C40C49">
        <w:rPr>
          <w:rFonts w:ascii="David" w:hAnsi="David" w:cs="David"/>
          <w:sz w:val="28"/>
          <w:szCs w:val="28"/>
          <w:rtl/>
        </w:rPr>
        <w:t xml:space="preserve"> לשם שמים. ר"ל כל כנסיה שנחלקו יחידיה בדעות, וכוונת כל הדעות לש"ש</w:t>
      </w:r>
      <w:r w:rsidRPr="00C40C49">
        <w:rPr>
          <w:rFonts w:ascii="David" w:hAnsi="David" w:cs="David"/>
          <w:sz w:val="28"/>
          <w:szCs w:val="28"/>
        </w:rPr>
        <w:t>:</w:t>
      </w:r>
    </w:p>
    <w:p w14:paraId="469E6CDB" w14:textId="32950E10" w:rsidR="00C40C49" w:rsidRPr="00C40C49" w:rsidRDefault="00C40C49" w:rsidP="00C40C49">
      <w:pPr>
        <w:bidi/>
        <w:jc w:val="both"/>
        <w:rPr>
          <w:rFonts w:ascii="David" w:hAnsi="David" w:cs="David"/>
          <w:sz w:val="28"/>
          <w:szCs w:val="28"/>
          <w:rtl/>
        </w:rPr>
      </w:pPr>
      <w:r w:rsidRPr="00C40C49">
        <w:rPr>
          <w:rFonts w:ascii="David" w:hAnsi="David" w:cs="David"/>
          <w:sz w:val="28"/>
          <w:szCs w:val="28"/>
          <w:rtl/>
        </w:rPr>
        <w:t xml:space="preserve"> סופה להתקיים. לעיל פ"ד משנה י"א קאמר כל כנסיה שהיא לשם שמים סופה להתקיים, וקאמר הכא שאף במחלוקת הוא כן דסוף המחלוקת להביא קיום להכנסייה, שע"י שהשתדלות כולם הוא רק אחר תכלית א', רק שלא יכירוהו הכל עדיין היטב, אולם ע"י חלוקי הדעות והפלפולים שיהיה ביניהן, והכרעת הסברות לכאן ולכאן, יזדקק ויתברר האמת לעיני כולן ברור כשמש או שיסבבו משמים עד שיודו כולם, ועי"ז יתנו קיום וחיזוק לא' מהסברות יותר מבתחלה</w:t>
      </w:r>
      <w:r w:rsidRPr="00C40C49">
        <w:rPr>
          <w:rFonts w:ascii="David" w:hAnsi="David" w:cs="David"/>
          <w:sz w:val="28"/>
          <w:szCs w:val="28"/>
        </w:rPr>
        <w:t>:</w:t>
      </w:r>
    </w:p>
    <w:p w14:paraId="3D878D7D" w14:textId="5615C387" w:rsidR="00C40C49" w:rsidRPr="00C40C49" w:rsidRDefault="00C40C49" w:rsidP="00C40C49">
      <w:pPr>
        <w:bidi/>
        <w:jc w:val="both"/>
        <w:rPr>
          <w:rFonts w:ascii="David" w:hAnsi="David" w:cs="David"/>
          <w:sz w:val="28"/>
          <w:szCs w:val="28"/>
          <w:rtl/>
        </w:rPr>
      </w:pPr>
      <w:r w:rsidRPr="00C40C49">
        <w:rPr>
          <w:rFonts w:ascii="David" w:hAnsi="David" w:cs="David"/>
          <w:sz w:val="28"/>
          <w:szCs w:val="28"/>
          <w:rtl/>
        </w:rPr>
        <w:t xml:space="preserve"> ושאינה לשם שמים. ר"ל אף שרק כוונת אחת מהן שלא לש"ש</w:t>
      </w:r>
      <w:r w:rsidRPr="00C40C49">
        <w:rPr>
          <w:rFonts w:ascii="David" w:hAnsi="David" w:cs="David"/>
          <w:sz w:val="28"/>
          <w:szCs w:val="28"/>
        </w:rPr>
        <w:t>:</w:t>
      </w:r>
    </w:p>
    <w:p w14:paraId="37F2A46D" w14:textId="32B09CD8" w:rsidR="00C40C49" w:rsidRPr="00C40C49" w:rsidRDefault="00C40C49" w:rsidP="00C40C49">
      <w:pPr>
        <w:bidi/>
        <w:jc w:val="both"/>
        <w:rPr>
          <w:rFonts w:ascii="David" w:hAnsi="David" w:cs="David"/>
          <w:sz w:val="28"/>
          <w:szCs w:val="28"/>
          <w:rtl/>
        </w:rPr>
      </w:pPr>
      <w:r w:rsidRPr="00C40C49">
        <w:rPr>
          <w:rFonts w:ascii="David" w:hAnsi="David" w:cs="David"/>
          <w:sz w:val="28"/>
          <w:szCs w:val="28"/>
          <w:rtl/>
        </w:rPr>
        <w:t>אין סופה להתקיים. ר"ל אין סוף המחלוקת ההיא מביאה קיום לסברת אותן שאין כוונתן לש"ש, שכיון שכוונת הכת האחת או של ב' הכתות שלא לש"ש, א"כ יש לכל אחת תכלית אחרת אשר ישתדלו אחריה, וכל זמן שלא ישיגו התכלית ההיא לא ישקוטו, נמצא שהמחלוקת לא תתן קיום לאחת מהסברות. ושלא תאמר דאף גם אם ע"י מחלוקתם אין אהבה ואחוה ביניהן, אפ"ה אם רק כל אחת מהכתות כוונתן קדושה, מיקרי מחלוקת לש"ש, ועל זה תקשה הרי ע"י קטטתם זע"ז יוגרם שיהיו כל אחד עומד על דעתו, ואין סופה להתקיים, להכי קאמר תנא איזו וכו</w:t>
      </w:r>
      <w:r w:rsidRPr="00C40C49">
        <w:rPr>
          <w:rFonts w:ascii="David" w:hAnsi="David" w:cs="David"/>
          <w:sz w:val="28"/>
          <w:szCs w:val="28"/>
        </w:rPr>
        <w:t>':</w:t>
      </w:r>
    </w:p>
    <w:p w14:paraId="0B0B7820" w14:textId="77777777" w:rsidR="00C40C49" w:rsidRDefault="00C40C49" w:rsidP="00C40C49">
      <w:pPr>
        <w:bidi/>
        <w:jc w:val="both"/>
        <w:rPr>
          <w:rFonts w:ascii="David" w:hAnsi="David" w:cs="David"/>
          <w:sz w:val="28"/>
          <w:szCs w:val="28"/>
          <w:rtl/>
        </w:rPr>
      </w:pPr>
      <w:r w:rsidRPr="00C40C49">
        <w:rPr>
          <w:rFonts w:ascii="David" w:hAnsi="David" w:cs="David"/>
          <w:sz w:val="28"/>
          <w:szCs w:val="28"/>
          <w:rtl/>
        </w:rPr>
        <w:t xml:space="preserve">הלל ושמאי. דאע"ג דמצינו מחלוקות רבות ביניהם בש"ס, אפ"ה היה אהבה ואחוה ביניהן [כיבמות י"ד ב']. ולהכי, באמת או שהודו זל"ז כדאשכחן בכמה דוכתי [עדיות פ"א מי"ב], או שסיבב הקדוש ברוך הוא שיסכימו כולם לדעת אחת, כמו שנעשה התם ע"י בת קול, שיהיו כולם סוברים כב"ה [עירובין ד"ו ב']. ושמא תאמר דבאמירה תליא אם רק אומר שכוונתו </w:t>
      </w:r>
      <w:r w:rsidRPr="00C40C49">
        <w:rPr>
          <w:rFonts w:ascii="David" w:hAnsi="David" w:cs="David"/>
          <w:sz w:val="28"/>
          <w:szCs w:val="28"/>
          <w:rtl/>
        </w:rPr>
        <w:lastRenderedPageBreak/>
        <w:t>לש"ש, אף דשבע תועבות בלבבו. להכי קאמר תו איזה וכו'. [ולא קאמר תנא ב"ש וב"ה, דהיינו תלמידיהם. ה"ט משום דבהם אפשר שהיה בהם מי שלא התכוון לש"ש [כסנהדרין דפ"ח ע"ב</w:t>
      </w:r>
      <w:r w:rsidRPr="00C40C49">
        <w:rPr>
          <w:rFonts w:ascii="David" w:hAnsi="David" w:cs="David"/>
          <w:sz w:val="28"/>
          <w:szCs w:val="28"/>
        </w:rPr>
        <w:t>]</w:t>
      </w:r>
    </w:p>
    <w:p w14:paraId="3360A999" w14:textId="77777777" w:rsidR="00FC2E90" w:rsidRDefault="00C40C49" w:rsidP="00C40C49">
      <w:pPr>
        <w:bidi/>
        <w:jc w:val="both"/>
        <w:rPr>
          <w:rFonts w:ascii="David" w:hAnsi="David" w:cs="David"/>
          <w:sz w:val="28"/>
          <w:szCs w:val="28"/>
          <w:rtl/>
        </w:rPr>
      </w:pPr>
      <w:r w:rsidRPr="00C40C49">
        <w:rPr>
          <w:rFonts w:ascii="David" w:hAnsi="David" w:cs="David"/>
          <w:sz w:val="28"/>
          <w:szCs w:val="28"/>
          <w:rtl/>
        </w:rPr>
        <w:t>קרח וכל עדתו. שאמר כי כל העדה כולם קדושים ובתוכם ה' ומדוע תתנשאו על קהל ה'. ואין לך צביעת המעוור העינים יותר מזה. אבל פנימיות מחשבותיו היו טמאים, וסופו הוכיח על תחלתו, שלא חזר מדעתו עד אשר יעו אותו במטאטא השמד מעל הארץ</w:t>
      </w:r>
      <w:r>
        <w:rPr>
          <w:rFonts w:ascii="David" w:hAnsi="David" w:cs="David" w:hint="cs"/>
          <w:sz w:val="28"/>
          <w:szCs w:val="28"/>
          <w:rtl/>
        </w:rPr>
        <w:t>''.</w:t>
      </w:r>
    </w:p>
    <w:p w14:paraId="104D488C" w14:textId="77777777" w:rsidR="00FC2E90" w:rsidRDefault="00FC2E90" w:rsidP="00FC2E90">
      <w:pPr>
        <w:bidi/>
        <w:jc w:val="both"/>
        <w:rPr>
          <w:rFonts w:ascii="David" w:hAnsi="David" w:cs="David"/>
          <w:sz w:val="28"/>
          <w:szCs w:val="28"/>
          <w:rtl/>
        </w:rPr>
      </w:pPr>
    </w:p>
    <w:p w14:paraId="1C0FC6DE" w14:textId="1E17B56C" w:rsidR="00FC2E90" w:rsidRPr="00FC2E90" w:rsidRDefault="00FC2E90" w:rsidP="00FC2E90">
      <w:pPr>
        <w:bidi/>
        <w:jc w:val="both"/>
        <w:rPr>
          <w:rFonts w:ascii="David" w:hAnsi="David" w:cs="David"/>
          <w:sz w:val="36"/>
          <w:szCs w:val="36"/>
          <w:u w:val="single"/>
          <w:rtl/>
        </w:rPr>
      </w:pPr>
      <w:r w:rsidRPr="00FC2E90">
        <w:rPr>
          <w:rFonts w:ascii="David" w:hAnsi="David" w:cs="David" w:hint="cs"/>
          <w:sz w:val="36"/>
          <w:szCs w:val="36"/>
          <w:u w:val="single"/>
          <w:rtl/>
        </w:rPr>
        <w:t>ראש האובדן הוא הפירוד</w:t>
      </w:r>
    </w:p>
    <w:p w14:paraId="1D8D731C" w14:textId="77777777" w:rsidR="00FC2E90" w:rsidRPr="00FC2E90" w:rsidRDefault="00FC2E90" w:rsidP="00FC2E90">
      <w:pPr>
        <w:bidi/>
        <w:jc w:val="both"/>
        <w:rPr>
          <w:rFonts w:ascii="David" w:hAnsi="David" w:cs="David"/>
          <w:sz w:val="28"/>
          <w:szCs w:val="28"/>
          <w:rtl/>
        </w:rPr>
      </w:pPr>
      <w:r w:rsidRPr="00FC2E90">
        <w:rPr>
          <w:rFonts w:ascii="David" w:hAnsi="David" w:cs="David"/>
          <w:sz w:val="28"/>
          <w:szCs w:val="28"/>
          <w:rtl/>
        </w:rPr>
        <w:t>כתוב בפרש</w:t>
      </w:r>
      <w:r w:rsidRPr="00FC2E90">
        <w:rPr>
          <w:rFonts w:ascii="David" w:hAnsi="David" w:cs="David" w:hint="cs"/>
          <w:sz w:val="28"/>
          <w:szCs w:val="28"/>
          <w:rtl/>
        </w:rPr>
        <w:t xml:space="preserve">ת </w:t>
      </w:r>
      <w:r w:rsidRPr="00FC2E90">
        <w:rPr>
          <w:rFonts w:ascii="David" w:hAnsi="David" w:cs="David" w:hint="cs"/>
          <w:b/>
          <w:bCs/>
          <w:sz w:val="28"/>
          <w:szCs w:val="28"/>
          <w:rtl/>
        </w:rPr>
        <w:t>וזאת הברכה</w:t>
      </w:r>
      <w:r w:rsidRPr="00FC2E90">
        <w:rPr>
          <w:rFonts w:ascii="David" w:hAnsi="David" w:cs="David" w:hint="cs"/>
          <w:sz w:val="28"/>
          <w:szCs w:val="28"/>
          <w:rtl/>
        </w:rPr>
        <w:t xml:space="preserve"> </w:t>
      </w:r>
      <w:r w:rsidRPr="00FC2E90">
        <w:rPr>
          <w:rFonts w:ascii="David" w:hAnsi="David" w:cs="David" w:hint="cs"/>
          <w:sz w:val="24"/>
          <w:szCs w:val="24"/>
          <w:rtl/>
        </w:rPr>
        <w:t>(לג, ה)</w:t>
      </w:r>
      <w:r w:rsidRPr="00FC2E90">
        <w:rPr>
          <w:rFonts w:ascii="David" w:hAnsi="David" w:cs="David"/>
          <w:sz w:val="24"/>
          <w:szCs w:val="24"/>
          <w:rtl/>
        </w:rPr>
        <w:t xml:space="preserve"> </w:t>
      </w:r>
      <w:r w:rsidRPr="00FC2E90">
        <w:rPr>
          <w:rFonts w:ascii="David" w:hAnsi="David" w:cs="David"/>
          <w:sz w:val="28"/>
          <w:szCs w:val="28"/>
          <w:rtl/>
        </w:rPr>
        <w:t>''וַיְהִי בִישֻׁרוּן מֶלֶךְ בְּהִתְאַסֵּף רָאשֵׁי עָם יַחַד שִׁבְטֵי יִשְׂרָאֵל''.</w:t>
      </w:r>
    </w:p>
    <w:p w14:paraId="5685C466" w14:textId="77777777" w:rsidR="00FC2E90" w:rsidRPr="00FC2E90" w:rsidRDefault="00FC2E90" w:rsidP="00FC2E90">
      <w:pPr>
        <w:bidi/>
        <w:jc w:val="both"/>
        <w:rPr>
          <w:rFonts w:ascii="David" w:hAnsi="David" w:cs="David"/>
          <w:sz w:val="28"/>
          <w:szCs w:val="28"/>
          <w:rtl/>
        </w:rPr>
      </w:pPr>
      <w:r w:rsidRPr="00FC2E90">
        <w:rPr>
          <w:rFonts w:ascii="David" w:hAnsi="David" w:cs="David" w:hint="cs"/>
          <w:sz w:val="28"/>
          <w:szCs w:val="28"/>
          <w:rtl/>
        </w:rPr>
        <w:t xml:space="preserve">וכותב </w:t>
      </w:r>
      <w:r w:rsidRPr="00FC2E90">
        <w:rPr>
          <w:rFonts w:ascii="David" w:hAnsi="David" w:cs="David" w:hint="cs"/>
          <w:b/>
          <w:bCs/>
          <w:sz w:val="28"/>
          <w:szCs w:val="28"/>
          <w:rtl/>
        </w:rPr>
        <w:t>האור החיים</w:t>
      </w:r>
      <w:r w:rsidRPr="00FC2E90">
        <w:rPr>
          <w:rFonts w:ascii="David" w:hAnsi="David" w:cs="David" w:hint="cs"/>
          <w:sz w:val="28"/>
          <w:szCs w:val="28"/>
          <w:rtl/>
        </w:rPr>
        <w:t xml:space="preserve"> ''</w:t>
      </w:r>
      <w:r w:rsidRPr="00FC2E90">
        <w:rPr>
          <w:rFonts w:ascii="David" w:hAnsi="David" w:cs="David"/>
          <w:sz w:val="28"/>
          <w:szCs w:val="28"/>
          <w:rtl/>
        </w:rPr>
        <w:t xml:space="preserve">עוד רמז, כי מלכות ישראל תהיה מתקיימת כשיהיו ישראל מתאספים ראשיהם יחד, ולא יהיו בד בבד שבזה יהיה סיבה שיתיחדו יחד שבטי ישראל. וכשישראל בגדר זה הנה הנם ברום גדר ההצלחות, ומלכותם תהיה בה הויה של קיום, </w:t>
      </w:r>
      <w:r w:rsidRPr="00FC2E90">
        <w:rPr>
          <w:rFonts w:ascii="David" w:hAnsi="David" w:cs="David"/>
          <w:sz w:val="28"/>
          <w:szCs w:val="28"/>
          <w:u w:val="single"/>
          <w:rtl/>
        </w:rPr>
        <w:t>וצא ולמד כי מיום שנחלקו הלבבות ונחלקו המלכיות מה עלתה בידם, וזאת סיבת עגלי ירבעם והבאים אחריו, כי ראש האובדן הוא הפירוד, וכלי המחזיק הברכה הוא השלום (סוף עוקצין) ויחוד ה לבבות</w:t>
      </w:r>
      <w:r w:rsidRPr="00FC2E90">
        <w:rPr>
          <w:rFonts w:ascii="David" w:hAnsi="David" w:cs="David" w:hint="cs"/>
          <w:sz w:val="28"/>
          <w:szCs w:val="28"/>
          <w:rtl/>
        </w:rPr>
        <w:t>''.</w:t>
      </w:r>
    </w:p>
    <w:p w14:paraId="3EAEDB21" w14:textId="3F57882C" w:rsidR="00C40C49" w:rsidRPr="00C40C49" w:rsidRDefault="00C40C49" w:rsidP="00FC2E90">
      <w:pPr>
        <w:bidi/>
        <w:jc w:val="both"/>
        <w:rPr>
          <w:rFonts w:ascii="David" w:hAnsi="David" w:cs="David"/>
          <w:sz w:val="28"/>
          <w:szCs w:val="28"/>
          <w:rtl/>
        </w:rPr>
      </w:pPr>
      <w:r w:rsidRPr="00C40C49">
        <w:rPr>
          <w:rFonts w:ascii="David" w:hAnsi="David" w:cs="David"/>
          <w:sz w:val="28"/>
          <w:szCs w:val="28"/>
          <w:rtl/>
        </w:rPr>
        <w:br/>
      </w:r>
    </w:p>
    <w:p w14:paraId="4F35026A" w14:textId="5519537C" w:rsidR="00C40C49" w:rsidRPr="001233ED" w:rsidRDefault="00C40C49" w:rsidP="00C40C49">
      <w:pPr>
        <w:bidi/>
        <w:jc w:val="both"/>
        <w:rPr>
          <w:rFonts w:ascii="David" w:hAnsi="David" w:cs="David"/>
          <w:sz w:val="28"/>
          <w:szCs w:val="28"/>
        </w:rPr>
      </w:pPr>
    </w:p>
    <w:bookmarkEnd w:id="0"/>
    <w:bookmarkEnd w:id="3"/>
    <w:p w14:paraId="1921FF7B" w14:textId="77777777" w:rsidR="001233ED" w:rsidRPr="001233ED" w:rsidRDefault="001233ED" w:rsidP="001233ED">
      <w:pPr>
        <w:bidi/>
        <w:jc w:val="both"/>
        <w:rPr>
          <w:rFonts w:ascii="David" w:hAnsi="David" w:cs="David"/>
          <w:sz w:val="28"/>
          <w:szCs w:val="28"/>
        </w:rPr>
      </w:pPr>
    </w:p>
    <w:sectPr w:rsidR="001233ED" w:rsidRPr="001233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ED"/>
    <w:rsid w:val="00073EE2"/>
    <w:rsid w:val="001233ED"/>
    <w:rsid w:val="001D2779"/>
    <w:rsid w:val="002A29F4"/>
    <w:rsid w:val="003A6BFD"/>
    <w:rsid w:val="0041181D"/>
    <w:rsid w:val="00A26C55"/>
    <w:rsid w:val="00A42575"/>
    <w:rsid w:val="00C40C49"/>
    <w:rsid w:val="00C562B7"/>
    <w:rsid w:val="00CB1F53"/>
    <w:rsid w:val="00E429AC"/>
    <w:rsid w:val="00FC2E9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EAA1"/>
  <w15:chartTrackingRefBased/>
  <w15:docId w15:val="{A186D8F6-A22F-443D-8E7A-66826E4D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1430</Words>
  <Characters>7871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2023-03-28T08:06:00Z</dcterms:created>
  <dcterms:modified xsi:type="dcterms:W3CDTF">2024-07-02T17:59:00Z</dcterms:modified>
</cp:coreProperties>
</file>