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24EF9" w14:textId="58CEEBE8" w:rsidR="00594F70" w:rsidRPr="006B11A3" w:rsidRDefault="00D24BB4" w:rsidP="00D24BB4">
      <w:pPr>
        <w:bidi/>
        <w:ind w:left="3540"/>
        <w:jc w:val="both"/>
        <w:rPr>
          <w:rFonts w:asciiTheme="majorBidi" w:hAnsiTheme="majorBidi" w:cstheme="majorBidi"/>
          <w:sz w:val="56"/>
          <w:szCs w:val="56"/>
          <w:u w:val="single"/>
          <w:rtl/>
        </w:rPr>
      </w:pPr>
      <w:r w:rsidRPr="006B11A3">
        <w:rPr>
          <w:rFonts w:asciiTheme="majorBidi" w:hAnsiTheme="majorBidi" w:cstheme="majorBidi"/>
          <w:sz w:val="56"/>
          <w:szCs w:val="56"/>
          <w:u w:val="single"/>
          <w:rtl/>
        </w:rPr>
        <w:t>מחשבה</w:t>
      </w:r>
    </w:p>
    <w:p w14:paraId="153D06B7" w14:textId="61374F61" w:rsidR="00D24BB4" w:rsidRPr="006B11A3" w:rsidRDefault="00D24BB4" w:rsidP="00D24BB4">
      <w:pPr>
        <w:bidi/>
        <w:jc w:val="both"/>
        <w:rPr>
          <w:rFonts w:asciiTheme="majorBidi" w:hAnsiTheme="majorBidi" w:cstheme="majorBidi"/>
          <w:sz w:val="28"/>
          <w:szCs w:val="28"/>
          <w:rtl/>
        </w:rPr>
      </w:pPr>
    </w:p>
    <w:p w14:paraId="21ED1F39" w14:textId="20D37F29" w:rsidR="00D24BB4" w:rsidRPr="006B11A3" w:rsidRDefault="00D24BB4" w:rsidP="00D24BB4">
      <w:pPr>
        <w:bidi/>
        <w:jc w:val="both"/>
        <w:rPr>
          <w:rFonts w:asciiTheme="majorBidi" w:hAnsiTheme="majorBidi" w:cstheme="majorBidi"/>
          <w:sz w:val="28"/>
          <w:szCs w:val="28"/>
          <w:rtl/>
        </w:rPr>
      </w:pPr>
    </w:p>
    <w:p w14:paraId="1CB6A0DE" w14:textId="77777777" w:rsidR="00834A2F" w:rsidRPr="006B11A3" w:rsidRDefault="00834A2F" w:rsidP="00834A2F">
      <w:pPr>
        <w:bidi/>
        <w:jc w:val="both"/>
        <w:rPr>
          <w:rFonts w:asciiTheme="majorBidi" w:hAnsiTheme="majorBidi" w:cstheme="majorBidi"/>
          <w:sz w:val="28"/>
          <w:szCs w:val="28"/>
          <w:rtl/>
        </w:rPr>
      </w:pPr>
    </w:p>
    <w:p w14:paraId="3853CA10" w14:textId="77777777" w:rsidR="002A3422" w:rsidRPr="006B11A3" w:rsidRDefault="002A3422" w:rsidP="002A3422">
      <w:pPr>
        <w:bidi/>
        <w:jc w:val="both"/>
        <w:rPr>
          <w:rFonts w:asciiTheme="majorBidi" w:hAnsiTheme="majorBidi" w:cstheme="majorBidi"/>
          <w:sz w:val="28"/>
          <w:szCs w:val="28"/>
          <w:rtl/>
        </w:rPr>
      </w:pPr>
      <w:r w:rsidRPr="006B11A3">
        <w:rPr>
          <w:rFonts w:asciiTheme="majorBidi" w:hAnsiTheme="majorBidi" w:cstheme="majorBidi"/>
          <w:sz w:val="28"/>
          <w:szCs w:val="28"/>
          <w:rtl/>
        </w:rPr>
        <w:t xml:space="preserve">_ עי' משנה במסכת </w:t>
      </w:r>
      <w:r w:rsidRPr="006B11A3">
        <w:rPr>
          <w:rFonts w:asciiTheme="majorBidi" w:hAnsiTheme="majorBidi" w:cstheme="majorBidi"/>
          <w:b/>
          <w:bCs/>
          <w:sz w:val="28"/>
          <w:szCs w:val="28"/>
          <w:rtl/>
        </w:rPr>
        <w:t xml:space="preserve">כלים </w:t>
      </w:r>
      <w:r w:rsidRPr="006B11A3">
        <w:rPr>
          <w:rFonts w:asciiTheme="majorBidi" w:hAnsiTheme="majorBidi" w:cstheme="majorBidi"/>
          <w:sz w:val="24"/>
          <w:szCs w:val="24"/>
          <w:rtl/>
        </w:rPr>
        <w:t xml:space="preserve">(פכ''ה מ''ט) </w:t>
      </w:r>
      <w:r w:rsidRPr="006B11A3">
        <w:rPr>
          <w:rFonts w:asciiTheme="majorBidi" w:hAnsiTheme="majorBidi" w:cstheme="majorBidi"/>
          <w:sz w:val="28"/>
          <w:szCs w:val="28"/>
          <w:rtl/>
        </w:rPr>
        <w:t>''כל הכלים יורדין לידי טומאתן במחשבה</w:t>
      </w:r>
      <w:r w:rsidRPr="006B11A3">
        <w:rPr>
          <w:rStyle w:val="Appelnotedebasdep"/>
          <w:rFonts w:asciiTheme="majorBidi" w:hAnsiTheme="majorBidi" w:cstheme="majorBidi"/>
          <w:sz w:val="28"/>
          <w:szCs w:val="28"/>
          <w:rtl/>
        </w:rPr>
        <w:footnoteReference w:id="1"/>
      </w:r>
      <w:r w:rsidRPr="006B11A3">
        <w:rPr>
          <w:rFonts w:asciiTheme="majorBidi" w:hAnsiTheme="majorBidi" w:cstheme="majorBidi"/>
          <w:sz w:val="28"/>
          <w:szCs w:val="28"/>
          <w:rtl/>
        </w:rPr>
        <w:t>''.</w:t>
      </w:r>
    </w:p>
    <w:p w14:paraId="198D88B9" w14:textId="77777777" w:rsidR="002A3422" w:rsidRPr="006B11A3" w:rsidRDefault="002A3422" w:rsidP="002A3422">
      <w:pPr>
        <w:bidi/>
        <w:jc w:val="both"/>
        <w:rPr>
          <w:rFonts w:asciiTheme="majorBidi" w:hAnsiTheme="majorBidi" w:cstheme="majorBidi"/>
          <w:sz w:val="36"/>
          <w:szCs w:val="36"/>
          <w:u w:val="single"/>
          <w:rtl/>
        </w:rPr>
      </w:pPr>
    </w:p>
    <w:p w14:paraId="297BCAAF" w14:textId="7BCD99AD" w:rsidR="00D24BB4" w:rsidRPr="006B11A3" w:rsidRDefault="00834A2F" w:rsidP="002A3422">
      <w:pPr>
        <w:bidi/>
        <w:jc w:val="both"/>
        <w:rPr>
          <w:rFonts w:asciiTheme="majorBidi" w:hAnsiTheme="majorBidi" w:cstheme="majorBidi"/>
          <w:sz w:val="28"/>
          <w:szCs w:val="28"/>
          <w:u w:val="single"/>
          <w:rtl/>
        </w:rPr>
      </w:pPr>
      <w:r w:rsidRPr="006B11A3">
        <w:rPr>
          <w:rFonts w:asciiTheme="majorBidi" w:hAnsiTheme="majorBidi" w:cstheme="majorBidi"/>
          <w:sz w:val="36"/>
          <w:szCs w:val="36"/>
          <w:u w:val="single"/>
          <w:rtl/>
        </w:rPr>
        <w:t>המחשבה יכולה להחשיב דבר שהוא לא היה דבר אכילה לדבר אכילה</w:t>
      </w:r>
    </w:p>
    <w:p w14:paraId="6CC21D3C" w14:textId="3A06F9A2" w:rsidR="00D24BB4" w:rsidRPr="006B11A3" w:rsidRDefault="00D24BB4" w:rsidP="00D24BB4">
      <w:pPr>
        <w:bidi/>
        <w:jc w:val="both"/>
        <w:rPr>
          <w:rFonts w:asciiTheme="majorBidi" w:hAnsiTheme="majorBidi" w:cstheme="majorBidi"/>
          <w:sz w:val="28"/>
          <w:szCs w:val="28"/>
          <w:rtl/>
        </w:rPr>
      </w:pPr>
      <w:r w:rsidRPr="006B11A3">
        <w:rPr>
          <w:rFonts w:asciiTheme="majorBidi" w:hAnsiTheme="majorBidi" w:cstheme="majorBidi"/>
          <w:sz w:val="28"/>
          <w:szCs w:val="28"/>
          <w:rtl/>
        </w:rPr>
        <w:t xml:space="preserve">עי' </w:t>
      </w:r>
      <w:r w:rsidRPr="006B11A3">
        <w:rPr>
          <w:rFonts w:asciiTheme="majorBidi" w:hAnsiTheme="majorBidi" w:cstheme="majorBidi"/>
          <w:b/>
          <w:bCs/>
          <w:sz w:val="28"/>
          <w:szCs w:val="28"/>
          <w:rtl/>
        </w:rPr>
        <w:t>חולין</w:t>
      </w:r>
      <w:r w:rsidR="00F156B5" w:rsidRPr="006B11A3">
        <w:rPr>
          <w:rFonts w:asciiTheme="majorBidi" w:hAnsiTheme="majorBidi" w:cstheme="majorBidi"/>
          <w:b/>
          <w:bCs/>
          <w:sz w:val="28"/>
          <w:szCs w:val="28"/>
          <w:rtl/>
        </w:rPr>
        <w:t xml:space="preserve"> </w:t>
      </w:r>
      <w:r w:rsidRPr="006B11A3">
        <w:rPr>
          <w:rFonts w:asciiTheme="majorBidi" w:hAnsiTheme="majorBidi" w:cstheme="majorBidi"/>
          <w:sz w:val="24"/>
          <w:szCs w:val="24"/>
          <w:rtl/>
        </w:rPr>
        <w:t xml:space="preserve">(דף עז.) </w:t>
      </w:r>
      <w:r w:rsidRPr="006B11A3">
        <w:rPr>
          <w:rFonts w:asciiTheme="majorBidi" w:hAnsiTheme="majorBidi" w:cstheme="majorBidi"/>
          <w:sz w:val="28"/>
          <w:szCs w:val="28"/>
          <w:rtl/>
        </w:rPr>
        <w:t xml:space="preserve">המשנה אומרת ''חישב עליה [על השליל הנמצא בבהמה שנשחטה שהוא לא מקבל טומאה, אם נגעה בה דבר טמא, כיון שהוא לא חשיב אוכל, אם חשב לאכול את השליל הזה] מטמאה טומאת אוכלין ולא טומאת נבילות'' רואים עד כמה גדול כח המחשבה </w:t>
      </w:r>
      <w:bookmarkStart w:id="0" w:name="_Hlk123560058"/>
      <w:r w:rsidRPr="006B11A3">
        <w:rPr>
          <w:rFonts w:asciiTheme="majorBidi" w:hAnsiTheme="majorBidi" w:cstheme="majorBidi"/>
          <w:sz w:val="28"/>
          <w:szCs w:val="28"/>
          <w:rtl/>
        </w:rPr>
        <w:t>שיכול להחשיב דבר שהוא לא היה דבר אכילה לדבר אכילה</w:t>
      </w:r>
      <w:bookmarkEnd w:id="0"/>
      <w:r w:rsidRPr="006B11A3">
        <w:rPr>
          <w:rFonts w:asciiTheme="majorBidi" w:hAnsiTheme="majorBidi" w:cstheme="majorBidi"/>
          <w:sz w:val="28"/>
          <w:szCs w:val="28"/>
          <w:rtl/>
        </w:rPr>
        <w:t>.</w:t>
      </w:r>
    </w:p>
    <w:p w14:paraId="4B8F4E0D" w14:textId="77777777" w:rsidR="002A3422" w:rsidRPr="006B11A3" w:rsidRDefault="002A3422" w:rsidP="00AA0EA8">
      <w:pPr>
        <w:bidi/>
        <w:jc w:val="both"/>
        <w:rPr>
          <w:rFonts w:asciiTheme="majorBidi" w:hAnsiTheme="majorBidi" w:cstheme="majorBidi"/>
          <w:sz w:val="28"/>
          <w:szCs w:val="28"/>
          <w:rtl/>
        </w:rPr>
      </w:pPr>
    </w:p>
    <w:p w14:paraId="29A754E7" w14:textId="61B72EE7" w:rsidR="002A3422" w:rsidRPr="006B11A3" w:rsidRDefault="002A3422" w:rsidP="002A3422">
      <w:pPr>
        <w:bidi/>
        <w:jc w:val="both"/>
        <w:rPr>
          <w:rFonts w:asciiTheme="majorBidi" w:hAnsiTheme="majorBidi" w:cstheme="majorBidi"/>
          <w:sz w:val="36"/>
          <w:szCs w:val="36"/>
          <w:u w:val="single"/>
          <w:rtl/>
        </w:rPr>
      </w:pPr>
      <w:bookmarkStart w:id="1" w:name="_Hlk138951725"/>
      <w:r w:rsidRPr="006B11A3">
        <w:rPr>
          <w:rFonts w:asciiTheme="majorBidi" w:hAnsiTheme="majorBidi" w:cstheme="majorBidi"/>
          <w:sz w:val="36"/>
          <w:szCs w:val="36"/>
          <w:u w:val="single"/>
          <w:rtl/>
        </w:rPr>
        <w:t>המחשבה פועל באדם ומביא את הדבר שחושב עליו אליו</w:t>
      </w:r>
    </w:p>
    <w:p w14:paraId="703E71E0" w14:textId="31F1F095" w:rsidR="00AA0EA8" w:rsidRPr="006B11A3" w:rsidRDefault="00AA0EA8" w:rsidP="002A3422">
      <w:pPr>
        <w:bidi/>
        <w:jc w:val="both"/>
        <w:rPr>
          <w:rFonts w:asciiTheme="majorBidi" w:hAnsiTheme="majorBidi" w:cstheme="majorBidi"/>
          <w:sz w:val="28"/>
          <w:szCs w:val="28"/>
          <w:rtl/>
        </w:rPr>
      </w:pPr>
      <w:r w:rsidRPr="006B11A3">
        <w:rPr>
          <w:rFonts w:asciiTheme="majorBidi" w:hAnsiTheme="majorBidi" w:cstheme="majorBidi"/>
          <w:sz w:val="28"/>
          <w:szCs w:val="28"/>
          <w:rtl/>
        </w:rPr>
        <w:t xml:space="preserve">עי' </w:t>
      </w:r>
      <w:r w:rsidRPr="006B11A3">
        <w:rPr>
          <w:rFonts w:asciiTheme="majorBidi" w:hAnsiTheme="majorBidi" w:cstheme="majorBidi"/>
          <w:b/>
          <w:bCs/>
          <w:sz w:val="28"/>
          <w:szCs w:val="28"/>
          <w:rtl/>
        </w:rPr>
        <w:t>חידושי אגדות למהר"ל בבא מציעא</w:t>
      </w:r>
      <w:r w:rsidRPr="006B11A3">
        <w:rPr>
          <w:rFonts w:asciiTheme="majorBidi" w:hAnsiTheme="majorBidi" w:cstheme="majorBidi"/>
          <w:sz w:val="28"/>
          <w:szCs w:val="28"/>
          <w:rtl/>
        </w:rPr>
        <w:t xml:space="preserve"> </w:t>
      </w:r>
      <w:r w:rsidRPr="006B11A3">
        <w:rPr>
          <w:rFonts w:asciiTheme="majorBidi" w:hAnsiTheme="majorBidi" w:cstheme="majorBidi"/>
          <w:sz w:val="24"/>
          <w:szCs w:val="24"/>
          <w:rtl/>
        </w:rPr>
        <w:t xml:space="preserve">(דף לג.) </w:t>
      </w:r>
      <w:r w:rsidRPr="006B11A3">
        <w:rPr>
          <w:rFonts w:asciiTheme="majorBidi" w:hAnsiTheme="majorBidi" w:cstheme="majorBidi"/>
          <w:sz w:val="28"/>
          <w:szCs w:val="28"/>
          <w:rtl/>
        </w:rPr>
        <w:t xml:space="preserve">כל המקיים בעצמו כך בא לידי כך. פי' כי האדם בקל פועל בעצמו יותר ממה שיפעל בזולתו, כי כאשר הוא פועל בעצמו אין דבר מתנגד לו, לא כאשר יפעול בזולתו, כאשר המקבל מתנגד לו אין מניח לפעול בו. וכאשר הוא מתירא מן עניות הרי יתן לעניות מקום לפעול בו ובא אליו הדבר, וכמו שאמר </w:t>
      </w:r>
      <w:r w:rsidRPr="006B11A3">
        <w:rPr>
          <w:rFonts w:asciiTheme="majorBidi" w:hAnsiTheme="majorBidi" w:cstheme="majorBidi"/>
          <w:b/>
          <w:bCs/>
          <w:sz w:val="28"/>
          <w:szCs w:val="28"/>
          <w:rtl/>
        </w:rPr>
        <w:t>איוב</w:t>
      </w:r>
      <w:r w:rsidRPr="006B11A3">
        <w:rPr>
          <w:rFonts w:asciiTheme="majorBidi" w:hAnsiTheme="majorBidi" w:cstheme="majorBidi"/>
          <w:sz w:val="28"/>
          <w:szCs w:val="28"/>
          <w:rtl/>
        </w:rPr>
        <w:t xml:space="preserve"> </w:t>
      </w:r>
      <w:r w:rsidRPr="006B11A3">
        <w:rPr>
          <w:rFonts w:asciiTheme="majorBidi" w:hAnsiTheme="majorBidi" w:cstheme="majorBidi"/>
          <w:sz w:val="24"/>
          <w:szCs w:val="24"/>
          <w:rtl/>
        </w:rPr>
        <w:t xml:space="preserve">(ג' כ"ה) </w:t>
      </w:r>
      <w:r w:rsidRPr="006B11A3">
        <w:rPr>
          <w:rFonts w:asciiTheme="majorBidi" w:hAnsiTheme="majorBidi" w:cstheme="majorBidi"/>
          <w:sz w:val="28"/>
          <w:szCs w:val="28"/>
          <w:rtl/>
        </w:rPr>
        <w:t xml:space="preserve">ואשר יגורתי יבא לי, כי כאשר הוא ירא מן דבר אחד והוא בעצמו מקטין עצמו לפני אותו דבר שהוא ירא ממנו, ובזה פועל בו אותו דבר. ובפרט העניות שהוא ההעדר, וכאשר נותן עצמו אל ההעדר מקבל ההעדר, שהוא רודף אחריו תמיד, ודבר זה ברור. אף על גב דשלו קודם, היינו מצד החיוב, שאינו חייב שיהיה של חבירו קודם, אבל אשר קובע בנפשו כך וזהו כאשר מתירא מן העניות אז הוא בא לידי כך, כאשר הוא בדעתו שהוא מוכן לזה. ואינו דומה למי שהוא מתירא מן הנפילה שיפול, כי אין דבר זה דומה לזה כי הנפילה הוא בשביל מכשול אשר מגיע לו מן החוץ ואינו יכול לפעול המכשול מן החוץ, אבל זה לא הוי רק חסרון והעדר ממון שבא לידי חסרון ולידי מארה, וכאשר ירא מזה דעתו הוא שהוא מוכן לזה, לזה בא לדבר זה. וגם דבר זה עצמו שהוא הנפילה אמרו הראשונים שהיראה מזה מביא לידי זה, כי אם יקח אדם לוח אחד של עץ ומניחו על הנהר לעבור על הנהר מן הקצה אל הקצה קרוב הוא אל הנפילה כאשר עובר עליו, ואם הוא מונח על הארץ לא היה נשמט רגליו ממנו. וזה בשביל כי המחשבה שמחשיב על הנפילה פועל באדם, </w:t>
      </w:r>
      <w:r w:rsidRPr="006B11A3">
        <w:rPr>
          <w:rFonts w:asciiTheme="majorBidi" w:hAnsiTheme="majorBidi" w:cstheme="majorBidi"/>
          <w:sz w:val="28"/>
          <w:szCs w:val="28"/>
          <w:u w:val="single"/>
          <w:rtl/>
        </w:rPr>
        <w:t>כי השכל הוא הפועל הגמור, ומכ"ש דבר זה כאשר הוא מתירא שלא יעני, שהמחשבה והשכל הוא פועל באדם ומקבל עניות והבן זה''</w:t>
      </w:r>
      <w:r w:rsidRPr="006B11A3">
        <w:rPr>
          <w:rFonts w:asciiTheme="majorBidi" w:hAnsiTheme="majorBidi" w:cstheme="majorBidi"/>
          <w:sz w:val="28"/>
          <w:szCs w:val="28"/>
          <w:rtl/>
        </w:rPr>
        <w:t>.</w:t>
      </w:r>
    </w:p>
    <w:p w14:paraId="25265727" w14:textId="3AA5DACF" w:rsidR="00F156B5" w:rsidRPr="006B11A3" w:rsidRDefault="00F156B5" w:rsidP="00F156B5">
      <w:pPr>
        <w:bidi/>
        <w:jc w:val="both"/>
        <w:rPr>
          <w:rFonts w:asciiTheme="majorBidi" w:hAnsiTheme="majorBidi" w:cstheme="majorBidi"/>
          <w:sz w:val="28"/>
          <w:szCs w:val="28"/>
          <w:rtl/>
        </w:rPr>
      </w:pPr>
      <w:r w:rsidRPr="006B11A3">
        <w:rPr>
          <w:rFonts w:asciiTheme="majorBidi" w:hAnsiTheme="majorBidi" w:cstheme="majorBidi"/>
          <w:sz w:val="28"/>
          <w:szCs w:val="28"/>
          <w:rtl/>
        </w:rPr>
        <w:t xml:space="preserve">עי' </w:t>
      </w:r>
      <w:r w:rsidRPr="006B11A3">
        <w:rPr>
          <w:rFonts w:asciiTheme="majorBidi" w:hAnsiTheme="majorBidi" w:cstheme="majorBidi"/>
          <w:b/>
          <w:bCs/>
          <w:sz w:val="28"/>
          <w:szCs w:val="28"/>
          <w:rtl/>
        </w:rPr>
        <w:t>ליקוטי מוהר"ן</w:t>
      </w:r>
      <w:r w:rsidRPr="006B11A3">
        <w:rPr>
          <w:rFonts w:asciiTheme="majorBidi" w:hAnsiTheme="majorBidi" w:cstheme="majorBidi"/>
          <w:sz w:val="28"/>
          <w:szCs w:val="28"/>
          <w:rtl/>
        </w:rPr>
        <w:t xml:space="preserve"> </w:t>
      </w:r>
      <w:r w:rsidRPr="006B11A3">
        <w:rPr>
          <w:rFonts w:asciiTheme="majorBidi" w:hAnsiTheme="majorBidi" w:cstheme="majorBidi"/>
          <w:sz w:val="24"/>
          <w:szCs w:val="24"/>
          <w:rtl/>
        </w:rPr>
        <w:t xml:space="preserve">(תורה קצג) </w:t>
      </w:r>
      <w:r w:rsidR="00726B26" w:rsidRPr="006B11A3">
        <w:rPr>
          <w:rFonts w:asciiTheme="majorBidi" w:hAnsiTheme="majorBidi" w:cstheme="majorBidi"/>
          <w:sz w:val="28"/>
          <w:szCs w:val="28"/>
          <w:u w:val="single"/>
          <w:rtl/>
        </w:rPr>
        <w:t>''</w:t>
      </w:r>
      <w:r w:rsidRPr="006B11A3">
        <w:rPr>
          <w:rFonts w:asciiTheme="majorBidi" w:hAnsiTheme="majorBidi" w:cstheme="majorBidi"/>
          <w:sz w:val="28"/>
          <w:szCs w:val="28"/>
          <w:u w:val="single"/>
          <w:rtl/>
        </w:rPr>
        <w:t>דע שהמחשבה יש לה תוקף גדול, ואם יחזק ויגבר מחשבתו על איזה דבר שבעולם, יוכל לפעול שיהיה כך, ואפילו אם יחזק מחשבתו מאד שיהיה לו ממון, בוודאי יהיה לו, וכן בכל דבר</w:t>
      </w:r>
      <w:r w:rsidRPr="006B11A3">
        <w:rPr>
          <w:rFonts w:asciiTheme="majorBidi" w:hAnsiTheme="majorBidi" w:cstheme="majorBidi"/>
          <w:sz w:val="28"/>
          <w:szCs w:val="28"/>
          <w:rtl/>
        </w:rPr>
        <w:t xml:space="preserve">. רק שהמחשבה תהיה בביטול כל ההרגשות. והמחשבה תקיפה כ"כ, עד שאפשר </w:t>
      </w:r>
      <w:r w:rsidRPr="006B11A3">
        <w:rPr>
          <w:rFonts w:asciiTheme="majorBidi" w:hAnsiTheme="majorBidi" w:cstheme="majorBidi"/>
          <w:sz w:val="28"/>
          <w:szCs w:val="28"/>
          <w:rtl/>
        </w:rPr>
        <w:lastRenderedPageBreak/>
        <w:t>למסור נפשו במחשבתו ממש, דהיינו שירגיש צער המיתה ממש, על ידי שיקבל על עצמו בדעתו שהוא מרוצה למסור נפשו על קידוש השם באיזה מיתה שתהי'. ואפשר לחזק ולגבר המחשבה כ"כ, עד שבשעה שמקבל במחשבתו שהוא מרוצה למסור נפשו למות על קידוש השם, אזי ירגיש צער המיתה ממש. וזה שאמר ר"ע (ברכות סא) כל ימי הייתי מצטער על פסוק זה מתי יבא לידי ואקיימנו עכשיו וכו'. היינו שבשעת ק"ש שהי' ר"ע מקבל על עצמו ד' מיתות ב"ד, הי' מקבל על עצמו מסירת נפשו במחשבה חזקה ותקיפה כזו, עד שהי' מצטער ומרגיש ממש ייסורי המיתה ממש, כאלו סוקלין ושורפין אותו ממש בלי שום הפרש. וזה כל ימי הייתי מצטער מתי יבא וכו' היינו שממה ששערתי וקבלתי בדעתי מתי יבא לידי ואקיימנו למסור נפשי על קידוש השם, מזה לבד הייתי מצטער ומרגיש וסובל ייסורי המיתה ממש כנ"ל, עכשיו שבא לידי בפועל ולא אקיימנו, הלא תמיד הייתי סובל זה הצער ממש מהקבלה במחשבה לבד. וכשמחזק המחשבה במסירת נפש כ"כ כנ"ל, יוכל למות ממש מזה הצער כאילו היה מת מזו המיתה בפועל כי אין הפרש בין המיתה בפועל להצער שמרגיש מהמיתה במחשבה כנ"ל. על כן צריך למנוע ולהרחיק עצמו לבלי לישאר שם בעת שמרגיש שקרוב שתצא נפשו, שלא ימות בלא עתו חס ושלום</w:t>
      </w:r>
      <w:r w:rsidR="00726B26" w:rsidRPr="006B11A3">
        <w:rPr>
          <w:rFonts w:asciiTheme="majorBidi" w:hAnsiTheme="majorBidi" w:cstheme="majorBidi"/>
          <w:sz w:val="28"/>
          <w:szCs w:val="28"/>
          <w:rtl/>
        </w:rPr>
        <w:t>''</w:t>
      </w:r>
      <w:r w:rsidR="009F332A" w:rsidRPr="006B11A3">
        <w:rPr>
          <w:rFonts w:asciiTheme="majorBidi" w:hAnsiTheme="majorBidi" w:cstheme="majorBidi"/>
          <w:sz w:val="28"/>
          <w:szCs w:val="28"/>
          <w:rtl/>
        </w:rPr>
        <w:t>.</w:t>
      </w:r>
    </w:p>
    <w:p w14:paraId="07C7FE89" w14:textId="08D9983A" w:rsidR="009F332A" w:rsidRDefault="009F332A" w:rsidP="009F332A">
      <w:pPr>
        <w:bidi/>
        <w:jc w:val="both"/>
        <w:rPr>
          <w:rFonts w:asciiTheme="majorBidi" w:hAnsiTheme="majorBidi" w:cstheme="majorBidi"/>
          <w:sz w:val="28"/>
          <w:szCs w:val="28"/>
          <w:rtl/>
        </w:rPr>
      </w:pPr>
      <w:r w:rsidRPr="006B11A3">
        <w:rPr>
          <w:rFonts w:asciiTheme="majorBidi" w:hAnsiTheme="majorBidi" w:cstheme="majorBidi"/>
          <w:sz w:val="28"/>
          <w:szCs w:val="28"/>
          <w:rtl/>
        </w:rPr>
        <w:t xml:space="preserve">ואפשר להביא ראיה על זה מהא דאיתא </w:t>
      </w:r>
      <w:r w:rsidRPr="006B11A3">
        <w:rPr>
          <w:rFonts w:asciiTheme="majorBidi" w:hAnsiTheme="majorBidi" w:cstheme="majorBidi"/>
          <w:b/>
          <w:bCs/>
          <w:sz w:val="28"/>
          <w:szCs w:val="28"/>
          <w:rtl/>
        </w:rPr>
        <w:t>בע''ז</w:t>
      </w:r>
      <w:r w:rsidRPr="006B11A3">
        <w:rPr>
          <w:rFonts w:asciiTheme="majorBidi" w:hAnsiTheme="majorBidi" w:cstheme="majorBidi"/>
          <w:sz w:val="28"/>
          <w:szCs w:val="28"/>
          <w:rtl/>
        </w:rPr>
        <w:t xml:space="preserve"> </w:t>
      </w:r>
      <w:r w:rsidRPr="006B11A3">
        <w:rPr>
          <w:rFonts w:asciiTheme="majorBidi" w:hAnsiTheme="majorBidi" w:cstheme="majorBidi"/>
          <w:sz w:val="24"/>
          <w:szCs w:val="24"/>
          <w:rtl/>
        </w:rPr>
        <w:t xml:space="preserve">(דף יז.) </w:t>
      </w:r>
      <w:r w:rsidRPr="006B11A3">
        <w:rPr>
          <w:rFonts w:asciiTheme="majorBidi" w:hAnsiTheme="majorBidi" w:cstheme="majorBidi"/>
          <w:sz w:val="28"/>
          <w:szCs w:val="28"/>
          <w:rtl/>
        </w:rPr>
        <w:t xml:space="preserve">עם המעשה של </w:t>
      </w:r>
      <w:r w:rsidRPr="006B11A3">
        <w:rPr>
          <w:rFonts w:asciiTheme="majorBidi" w:hAnsiTheme="majorBidi" w:cstheme="majorBidi"/>
          <w:b/>
          <w:bCs/>
          <w:sz w:val="28"/>
          <w:szCs w:val="28"/>
          <w:rtl/>
        </w:rPr>
        <w:t>ר''א בן דורדיה</w:t>
      </w:r>
      <w:r w:rsidRPr="006B11A3">
        <w:rPr>
          <w:rFonts w:asciiTheme="majorBidi" w:hAnsiTheme="majorBidi" w:cstheme="majorBidi"/>
          <w:sz w:val="28"/>
          <w:szCs w:val="28"/>
          <w:rtl/>
        </w:rPr>
        <w:t xml:space="preserve"> שכשחזר בתשובה כתוב ''אמר אין הדבר תלוי אלא בי הניח ראשו בין ברכיו וגעה בבכיה עד שיצתה נשמתו'', ויש להקשות הרי איך יצא נשמתו בצורה פינומית בלי סיבה מבוררת, ולפי הנ''ל אתי שפיר שכח הדמיון שלו המית אותו.</w:t>
      </w:r>
      <w:bookmarkEnd w:id="1"/>
    </w:p>
    <w:p w14:paraId="71EFAFA5" w14:textId="77777777" w:rsidR="006B11A3" w:rsidRDefault="006B11A3" w:rsidP="006B11A3">
      <w:pPr>
        <w:bidi/>
        <w:jc w:val="both"/>
        <w:rPr>
          <w:rFonts w:asciiTheme="majorBidi" w:hAnsiTheme="majorBidi" w:cstheme="majorBidi"/>
          <w:sz w:val="28"/>
          <w:szCs w:val="28"/>
          <w:rtl/>
        </w:rPr>
      </w:pPr>
    </w:p>
    <w:p w14:paraId="0381BD36" w14:textId="402E23FC" w:rsidR="006B11A3" w:rsidRPr="006B11A3" w:rsidRDefault="006B11A3" w:rsidP="006B11A3">
      <w:pPr>
        <w:bidi/>
        <w:jc w:val="both"/>
        <w:rPr>
          <w:rFonts w:asciiTheme="majorBidi" w:hAnsiTheme="majorBidi" w:cs="Times New Roman"/>
          <w:sz w:val="36"/>
          <w:szCs w:val="36"/>
          <w:u w:val="single"/>
          <w:rtl/>
        </w:rPr>
      </w:pPr>
      <w:r w:rsidRPr="006B11A3">
        <w:rPr>
          <w:rFonts w:asciiTheme="majorBidi" w:hAnsiTheme="majorBidi" w:cs="Times New Roman" w:hint="cs"/>
          <w:sz w:val="36"/>
          <w:szCs w:val="36"/>
          <w:u w:val="single"/>
          <w:rtl/>
        </w:rPr>
        <w:t>כח המחשבה</w:t>
      </w:r>
    </w:p>
    <w:p w14:paraId="13DE93CC" w14:textId="60D9182F" w:rsidR="006B11A3" w:rsidRPr="006B11A3" w:rsidRDefault="006B11A3" w:rsidP="006B11A3">
      <w:pPr>
        <w:bidi/>
        <w:jc w:val="both"/>
        <w:rPr>
          <w:rFonts w:asciiTheme="majorBidi" w:hAnsiTheme="majorBidi" w:cstheme="majorBidi"/>
          <w:sz w:val="28"/>
          <w:szCs w:val="28"/>
        </w:rPr>
      </w:pPr>
      <w:r>
        <w:rPr>
          <w:rFonts w:asciiTheme="majorBidi" w:hAnsiTheme="majorBidi" w:cs="Times New Roman" w:hint="cs"/>
          <w:sz w:val="28"/>
          <w:szCs w:val="28"/>
          <w:rtl/>
        </w:rPr>
        <w:t xml:space="preserve">כתב </w:t>
      </w:r>
      <w:r w:rsidRPr="006B11A3">
        <w:rPr>
          <w:rFonts w:asciiTheme="majorBidi" w:hAnsiTheme="majorBidi" w:cs="Times New Roman"/>
          <w:b/>
          <w:bCs/>
          <w:sz w:val="28"/>
          <w:szCs w:val="28"/>
          <w:rtl/>
        </w:rPr>
        <w:t>רבינו בחיי</w:t>
      </w:r>
      <w:r w:rsidRPr="006B11A3">
        <w:rPr>
          <w:rFonts w:asciiTheme="majorBidi" w:hAnsiTheme="majorBidi" w:cs="Times New Roman"/>
          <w:sz w:val="28"/>
          <w:szCs w:val="28"/>
          <w:rtl/>
        </w:rPr>
        <w:t xml:space="preserve"> </w:t>
      </w:r>
      <w:r w:rsidRPr="006B11A3">
        <w:rPr>
          <w:rFonts w:asciiTheme="majorBidi" w:hAnsiTheme="majorBidi" w:cs="Times New Roman"/>
          <w:sz w:val="24"/>
          <w:szCs w:val="24"/>
          <w:rtl/>
        </w:rPr>
        <w:t>(</w:t>
      </w:r>
      <w:r w:rsidRPr="006B11A3">
        <w:rPr>
          <w:rFonts w:asciiTheme="majorBidi" w:hAnsiTheme="majorBidi" w:cs="Times New Roman" w:hint="cs"/>
          <w:sz w:val="24"/>
          <w:szCs w:val="24"/>
          <w:rtl/>
        </w:rPr>
        <w:t>הקדמה ל</w:t>
      </w:r>
      <w:r w:rsidRPr="006B11A3">
        <w:rPr>
          <w:rFonts w:asciiTheme="majorBidi" w:hAnsiTheme="majorBidi" w:cs="Times New Roman"/>
          <w:sz w:val="24"/>
          <w:szCs w:val="24"/>
          <w:rtl/>
        </w:rPr>
        <w:t>פר</w:t>
      </w:r>
      <w:r w:rsidRPr="006B11A3">
        <w:rPr>
          <w:rFonts w:asciiTheme="majorBidi" w:hAnsiTheme="majorBidi" w:cs="Times New Roman" w:hint="cs"/>
          <w:sz w:val="24"/>
          <w:szCs w:val="24"/>
          <w:rtl/>
        </w:rPr>
        <w:t>'</w:t>
      </w:r>
      <w:r w:rsidRPr="006B11A3">
        <w:rPr>
          <w:rFonts w:asciiTheme="majorBidi" w:hAnsiTheme="majorBidi" w:cs="Times New Roman"/>
          <w:sz w:val="24"/>
          <w:szCs w:val="24"/>
          <w:rtl/>
        </w:rPr>
        <w:t xml:space="preserve"> נצבים)</w:t>
      </w:r>
      <w:r w:rsidRPr="006B11A3">
        <w:rPr>
          <w:rFonts w:asciiTheme="majorBidi" w:hAnsiTheme="majorBidi" w:cstheme="majorBidi" w:hint="cs"/>
          <w:sz w:val="24"/>
          <w:szCs w:val="24"/>
          <w:rtl/>
        </w:rPr>
        <w:t xml:space="preserve"> </w:t>
      </w:r>
      <w:r>
        <w:rPr>
          <w:rFonts w:asciiTheme="majorBidi" w:hAnsiTheme="majorBidi" w:cstheme="majorBidi" w:hint="cs"/>
          <w:sz w:val="28"/>
          <w:szCs w:val="28"/>
          <w:rtl/>
        </w:rPr>
        <w:t>''</w:t>
      </w:r>
      <w:r w:rsidRPr="006B11A3">
        <w:rPr>
          <w:rFonts w:asciiTheme="majorBidi" w:hAnsiTheme="majorBidi" w:cs="Times New Roman"/>
          <w:sz w:val="28"/>
          <w:szCs w:val="28"/>
          <w:rtl/>
        </w:rPr>
        <w:t xml:space="preserve">גם מן הידוע </w:t>
      </w:r>
      <w:r w:rsidRPr="006B11A3">
        <w:rPr>
          <w:rFonts w:asciiTheme="majorBidi" w:hAnsiTheme="majorBidi" w:cs="Times New Roman"/>
          <w:sz w:val="28"/>
          <w:szCs w:val="28"/>
          <w:u w:val="single"/>
          <w:rtl/>
        </w:rPr>
        <w:t>כי הלב באדם שרש הגוף, ומחשבות ענפים, והמעשים פירות</w:t>
      </w:r>
      <w:r>
        <w:rPr>
          <w:rFonts w:asciiTheme="majorBidi" w:hAnsiTheme="majorBidi" w:cs="Times New Roman" w:hint="cs"/>
          <w:sz w:val="28"/>
          <w:szCs w:val="28"/>
          <w:rtl/>
        </w:rPr>
        <w:t>...</w:t>
      </w:r>
      <w:r w:rsidRPr="006B11A3">
        <w:rPr>
          <w:rFonts w:asciiTheme="majorBidi" w:hAnsiTheme="majorBidi" w:cs="Times New Roman"/>
          <w:sz w:val="28"/>
          <w:szCs w:val="28"/>
          <w:rtl/>
        </w:rPr>
        <w:t xml:space="preserve"> ולזה כוון </w:t>
      </w:r>
      <w:r w:rsidRPr="006B11A3">
        <w:rPr>
          <w:rFonts w:asciiTheme="majorBidi" w:hAnsiTheme="majorBidi" w:cs="Times New Roman"/>
          <w:b/>
          <w:bCs/>
          <w:sz w:val="28"/>
          <w:szCs w:val="28"/>
          <w:rtl/>
        </w:rPr>
        <w:t>שלמה ע"ה</w:t>
      </w:r>
      <w:r w:rsidRPr="006B11A3">
        <w:rPr>
          <w:rFonts w:asciiTheme="majorBidi" w:hAnsiTheme="majorBidi" w:cs="Times New Roman"/>
          <w:sz w:val="28"/>
          <w:szCs w:val="28"/>
          <w:rtl/>
        </w:rPr>
        <w:t xml:space="preserve"> במה שאמר: (משלי טו, יג) "לב שמח ייטיב פנים ובעצבת לב רוח נכאה", באר: שלא יקל בעיני האדם ענין המחשבה, </w:t>
      </w:r>
      <w:r w:rsidRPr="006B11A3">
        <w:rPr>
          <w:rFonts w:asciiTheme="majorBidi" w:hAnsiTheme="majorBidi" w:cs="Times New Roman"/>
          <w:sz w:val="28"/>
          <w:szCs w:val="28"/>
          <w:u w:val="single"/>
          <w:rtl/>
        </w:rPr>
        <w:t>שהרי שמחת הגוף ועצבונו תלוים במחשבה</w:t>
      </w:r>
      <w:r w:rsidRPr="006B11A3">
        <w:rPr>
          <w:rFonts w:asciiTheme="majorBidi" w:hAnsiTheme="majorBidi" w:cs="Times New Roman"/>
          <w:sz w:val="28"/>
          <w:szCs w:val="28"/>
          <w:rtl/>
        </w:rPr>
        <w:t>, ואם כן הרי המחשבה שהיא מן הלב יוצאה לפועל ומתגלית בגוף האדם. ומעתה יתבונן האדם בעצמו גודל שכרו אם ישמח במצות, וגודל עונשו אם ישמח בעבירה, וכן במדת העצבון גדול שכרו ועונשו.</w:t>
      </w:r>
    </w:p>
    <w:p w14:paraId="5CD8C695" w14:textId="002CB1BE" w:rsidR="006B11A3" w:rsidRPr="006B11A3" w:rsidRDefault="006B11A3" w:rsidP="006B11A3">
      <w:pPr>
        <w:bidi/>
        <w:jc w:val="both"/>
        <w:rPr>
          <w:rFonts w:asciiTheme="majorBidi" w:hAnsiTheme="majorBidi" w:cstheme="majorBidi"/>
          <w:sz w:val="28"/>
          <w:szCs w:val="28"/>
        </w:rPr>
      </w:pPr>
      <w:r w:rsidRPr="006B11A3">
        <w:rPr>
          <w:rFonts w:asciiTheme="majorBidi" w:hAnsiTheme="majorBidi" w:cs="Times New Roman"/>
          <w:sz w:val="28"/>
          <w:szCs w:val="28"/>
          <w:rtl/>
        </w:rPr>
        <w:t xml:space="preserve">וזהו שאמרו רז"ל: (יומא כט א) הרהורי עבירה קשין מעבירה, לפי שהרהור הזה יוצא לידי פעולה ומתגלה בגוף, ועל כן יהא קשה מעבירה בלא הרהור, שהרי בזה הרהור ופעולה, ובזה פעולה בלא הרהור. והמאמר הזה לרז"ל גדול הערך מאד, רבו בו הפירושים, וזה שאמרתי אחד. ועוד פירשו בו: הרהורי עבירה קשין מעבירה, </w:t>
      </w:r>
      <w:r w:rsidRPr="006B11A3">
        <w:rPr>
          <w:rFonts w:asciiTheme="majorBidi" w:hAnsiTheme="majorBidi" w:cs="Times New Roman"/>
          <w:sz w:val="28"/>
          <w:szCs w:val="28"/>
          <w:u w:val="single"/>
          <w:rtl/>
        </w:rPr>
        <w:t>כי רגילות המחשבה מביא האדם לידי עבירה</w:t>
      </w:r>
      <w:r w:rsidRPr="006B11A3">
        <w:rPr>
          <w:rFonts w:asciiTheme="majorBidi" w:hAnsiTheme="majorBidi" w:cs="Times New Roman"/>
          <w:sz w:val="28"/>
          <w:szCs w:val="28"/>
          <w:rtl/>
        </w:rPr>
        <w:t>. ועוד פירשו</w:t>
      </w:r>
      <w:r w:rsidRPr="006B11A3">
        <w:rPr>
          <w:rFonts w:asciiTheme="majorBidi" w:hAnsiTheme="majorBidi" w:cs="Times New Roman"/>
          <w:sz w:val="28"/>
          <w:szCs w:val="28"/>
          <w:u w:val="single"/>
          <w:rtl/>
        </w:rPr>
        <w:t>, כי הרהורי עבירה קשין על הנפש מעבירה עצמה לפי שהרהור תלוי בלב והנפש משכנה בלב, ועל כן כשהוא מטמא אותה במחשבה רעה קשה יותר מן העבירה עצמה כי העושה עבירה עצמה אין מחשבתו כל כך טרודה</w:t>
      </w:r>
      <w:r>
        <w:rPr>
          <w:rFonts w:asciiTheme="majorBidi" w:hAnsiTheme="majorBidi" w:cs="Times New Roman" w:hint="cs"/>
          <w:sz w:val="28"/>
          <w:szCs w:val="28"/>
          <w:rtl/>
        </w:rPr>
        <w:t>...</w:t>
      </w:r>
    </w:p>
    <w:p w14:paraId="03473B4B" w14:textId="77777777" w:rsidR="006B11A3" w:rsidRPr="006B11A3" w:rsidRDefault="006B11A3" w:rsidP="006B11A3">
      <w:pPr>
        <w:bidi/>
        <w:jc w:val="both"/>
        <w:rPr>
          <w:rFonts w:asciiTheme="majorBidi" w:hAnsiTheme="majorBidi" w:cstheme="majorBidi"/>
          <w:sz w:val="28"/>
          <w:szCs w:val="28"/>
        </w:rPr>
      </w:pPr>
      <w:r w:rsidRPr="006B11A3">
        <w:rPr>
          <w:rFonts w:asciiTheme="majorBidi" w:hAnsiTheme="majorBidi" w:cs="Times New Roman"/>
          <w:sz w:val="28"/>
          <w:szCs w:val="28"/>
          <w:rtl/>
        </w:rPr>
        <w:t xml:space="preserve">ואם ישאל שואל: והאיך יעניש הכתוב על ההרהור בלא מעשה, </w:t>
      </w:r>
      <w:r w:rsidRPr="006B11A3">
        <w:rPr>
          <w:rFonts w:asciiTheme="majorBidi" w:hAnsiTheme="majorBidi" w:cs="Times New Roman"/>
          <w:sz w:val="28"/>
          <w:szCs w:val="28"/>
          <w:u w:val="single"/>
          <w:rtl/>
        </w:rPr>
        <w:t>כי בודאי אין האדם יכול לשלוט בעצמו שלא יעלו בלבו מחשבות רעות, ואם כן למה יעניש על מה שאינו בידו</w:t>
      </w:r>
      <w:r w:rsidRPr="006B11A3">
        <w:rPr>
          <w:rFonts w:asciiTheme="majorBidi" w:hAnsiTheme="majorBidi" w:cs="Times New Roman"/>
          <w:sz w:val="28"/>
          <w:szCs w:val="28"/>
          <w:rtl/>
        </w:rPr>
        <w:t xml:space="preserve">. אבל אודיעך עיקר הדבר, ידוע כי בחירת המעשים מסורה בידו של אדם לטוב ולרע, הוא שכתוב: (דברים ל, טו - יט) "ראה נתתי לפניך היום את החיים ואת הטוב ואת המות ואת הרע וגו', ובחרת בחיים", </w:t>
      </w:r>
      <w:r w:rsidRPr="006B11A3">
        <w:rPr>
          <w:rFonts w:asciiTheme="majorBidi" w:hAnsiTheme="majorBidi" w:cs="Times New Roman"/>
          <w:sz w:val="28"/>
          <w:szCs w:val="28"/>
          <w:u w:val="single"/>
          <w:rtl/>
        </w:rPr>
        <w:t>גם בחירת המחשבה מסורה בידו אחר ההכנות</w:t>
      </w:r>
      <w:r w:rsidRPr="006B11A3">
        <w:rPr>
          <w:rFonts w:asciiTheme="majorBidi" w:hAnsiTheme="majorBidi" w:cs="Times New Roman"/>
          <w:sz w:val="28"/>
          <w:szCs w:val="28"/>
          <w:rtl/>
        </w:rPr>
        <w:t xml:space="preserve">, כי נצטוה שיחשוב מחשבה טובה ונזהר שיפנה לבו מלחשוב </w:t>
      </w:r>
      <w:r w:rsidRPr="006B11A3">
        <w:rPr>
          <w:rFonts w:asciiTheme="majorBidi" w:hAnsiTheme="majorBidi" w:cs="Times New Roman"/>
          <w:sz w:val="28"/>
          <w:szCs w:val="28"/>
          <w:rtl/>
        </w:rPr>
        <w:lastRenderedPageBreak/>
        <w:t xml:space="preserve">מחשבה רעה, והוא נגמל על המחשבה הטובה ונענש על המחשבה הרעה. ומה שלפעמים יולידו סרעפיו ורעיוניו מחשבות בלתי טובות, ויעלו על לבבו בפתע פתאום הרהורים לא ראוין שלא במתכוון, הנה זה טרם ההכנות והוא סימן המכשול והחטא, כי הטה עצמו מני אורח ולא גדל נפשו במדרגת ההכנות, </w:t>
      </w:r>
      <w:r w:rsidRPr="006B11A3">
        <w:rPr>
          <w:rFonts w:asciiTheme="majorBidi" w:hAnsiTheme="majorBidi" w:cs="Times New Roman"/>
          <w:sz w:val="28"/>
          <w:szCs w:val="28"/>
          <w:u w:val="single"/>
          <w:rtl/>
        </w:rPr>
        <w:t>ותקנתו ורפואתו שישתדל בהכנות והוא שיכין לבו ומחשבותיו אל השם יתעלה</w:t>
      </w:r>
      <w:r w:rsidRPr="006B11A3">
        <w:rPr>
          <w:rFonts w:asciiTheme="majorBidi" w:hAnsiTheme="majorBidi" w:cs="Times New Roman"/>
          <w:sz w:val="28"/>
          <w:szCs w:val="28"/>
          <w:rtl/>
        </w:rPr>
        <w:t xml:space="preserve">, </w:t>
      </w:r>
      <w:r w:rsidRPr="006B11A3">
        <w:rPr>
          <w:rFonts w:asciiTheme="majorBidi" w:hAnsiTheme="majorBidi" w:cs="Times New Roman"/>
          <w:sz w:val="28"/>
          <w:szCs w:val="28"/>
          <w:u w:val="single"/>
          <w:rtl/>
        </w:rPr>
        <w:t>ולו ישעבד ויכוף מחשבתו במחשבה טובה ובכשרון המפעלים, ואם באת המחשבה הרעה שיגער בה, שאם אינו גוער בה והיא עומדת בלבו הנה הוא נענש</w:t>
      </w:r>
      <w:r w:rsidRPr="006B11A3">
        <w:rPr>
          <w:rFonts w:asciiTheme="majorBidi" w:hAnsiTheme="majorBidi" w:cs="Times New Roman"/>
          <w:sz w:val="28"/>
          <w:szCs w:val="28"/>
          <w:rtl/>
        </w:rPr>
        <w:t xml:space="preserve">. וכאשר יתמיד מחשבתו זאת זמן רב ויכין לבו לאהבת השם יתברך ולקרבה אליו וללכת בדרכיו, </w:t>
      </w:r>
      <w:r w:rsidRPr="006B11A3">
        <w:rPr>
          <w:rFonts w:asciiTheme="majorBidi" w:hAnsiTheme="majorBidi" w:cs="Times New Roman"/>
          <w:sz w:val="28"/>
          <w:szCs w:val="28"/>
          <w:u w:val="single"/>
          <w:rtl/>
        </w:rPr>
        <w:t>גם ה' יתן הטוב ויגמלהו כצדקו שיכין לבו שלא יחשוב בדבר רע ולא יעלה במחשבתו רק טוב</w:t>
      </w:r>
      <w:r w:rsidRPr="006B11A3">
        <w:rPr>
          <w:rFonts w:asciiTheme="majorBidi" w:hAnsiTheme="majorBidi" w:cs="Times New Roman"/>
          <w:sz w:val="28"/>
          <w:szCs w:val="28"/>
          <w:rtl/>
        </w:rPr>
        <w:t>, ועל זה אמרו: (יומא לח ב) בא לטהר מסייעין אותו. ורבים הכתובים על העיקר הזה, הוא שכתוב: (דברי הימים - א כח, ט) "כי כל לבבות דורש ה' וכל יצר מחשבות מבין אם תבקשנו ימצא לך", וכתיב: (משלי כא, ב) "ותוכן לבות ה'", כי הש"י מכין לב האדם ומישר תולדתו כשאדם מכין לבו כנגדו יתעלה, וכן כתוב: (תהלים י, יז) "תאות ענוים שמעת ה' תכין לבם תקשיב אזנך", וכתיב: (דברי הימים - א כט, יח) "ה' אלהי אברהם יצחק וישראל אבותינו שמרה זאת לעולם ליצר מחשבות לבב עמך והכן לבבם אליך".</w:t>
      </w:r>
    </w:p>
    <w:p w14:paraId="087C1C29" w14:textId="1E19DA51" w:rsidR="006B11A3" w:rsidRPr="006B11A3" w:rsidRDefault="006B11A3" w:rsidP="006B11A3">
      <w:pPr>
        <w:bidi/>
        <w:jc w:val="both"/>
        <w:rPr>
          <w:rFonts w:asciiTheme="majorBidi" w:hAnsiTheme="majorBidi" w:cstheme="majorBidi"/>
          <w:sz w:val="28"/>
          <w:szCs w:val="28"/>
          <w:rtl/>
        </w:rPr>
      </w:pPr>
      <w:r w:rsidRPr="006B11A3">
        <w:rPr>
          <w:rFonts w:asciiTheme="majorBidi" w:hAnsiTheme="majorBidi" w:cs="Times New Roman"/>
          <w:b/>
          <w:bCs/>
          <w:sz w:val="28"/>
          <w:szCs w:val="28"/>
          <w:rtl/>
        </w:rPr>
        <w:t>והרמב"ם</w:t>
      </w:r>
      <w:r w:rsidRPr="006B11A3">
        <w:rPr>
          <w:rFonts w:asciiTheme="majorBidi" w:hAnsiTheme="majorBidi" w:cs="Times New Roman"/>
          <w:sz w:val="28"/>
          <w:szCs w:val="28"/>
          <w:rtl/>
        </w:rPr>
        <w:t xml:space="preserve"> ז"ל פירש הרהורי עבירה קשין מעבירה, </w:t>
      </w:r>
      <w:r w:rsidRPr="006B11A3">
        <w:rPr>
          <w:rFonts w:asciiTheme="majorBidi" w:hAnsiTheme="majorBidi" w:cs="Times New Roman"/>
          <w:sz w:val="28"/>
          <w:szCs w:val="28"/>
          <w:u w:val="single"/>
          <w:rtl/>
        </w:rPr>
        <w:t>לפי שהמחשבה מעלה גדולה באדם מכח השכל וממדות הנפש השכלית, וכשהוא חוטא בו הנה הוא חוטא במבחר מדותיו</w:t>
      </w:r>
      <w:r w:rsidRPr="006B11A3">
        <w:rPr>
          <w:rFonts w:asciiTheme="majorBidi" w:hAnsiTheme="majorBidi" w:cs="Times New Roman"/>
          <w:sz w:val="28"/>
          <w:szCs w:val="28"/>
          <w:rtl/>
        </w:rPr>
        <w:t>, ואין אשמת המשתמש בעבד סכל כאשמת המשתמש בבן חורין חכם, (כן כתב בתחלת פרק שני מספרו [מורה נבוכים ג, ח])</w:t>
      </w:r>
      <w:r>
        <w:rPr>
          <w:rFonts w:asciiTheme="majorBidi" w:hAnsiTheme="majorBidi" w:cs="Times New Roman" w:hint="cs"/>
          <w:sz w:val="28"/>
          <w:szCs w:val="28"/>
          <w:rtl/>
        </w:rPr>
        <w:t>''</w:t>
      </w:r>
      <w:r w:rsidRPr="006B11A3">
        <w:rPr>
          <w:rFonts w:asciiTheme="majorBidi" w:hAnsiTheme="majorBidi" w:cs="Times New Roman"/>
          <w:sz w:val="28"/>
          <w:szCs w:val="28"/>
          <w:rtl/>
        </w:rPr>
        <w:t xml:space="preserve">. </w:t>
      </w:r>
    </w:p>
    <w:sectPr w:rsidR="006B11A3" w:rsidRPr="006B11A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99135" w14:textId="77777777" w:rsidR="008E2206" w:rsidRDefault="008E2206" w:rsidP="00834A2F">
      <w:pPr>
        <w:spacing w:after="0" w:line="240" w:lineRule="auto"/>
      </w:pPr>
      <w:r>
        <w:separator/>
      </w:r>
    </w:p>
  </w:endnote>
  <w:endnote w:type="continuationSeparator" w:id="0">
    <w:p w14:paraId="4379D513" w14:textId="77777777" w:rsidR="008E2206" w:rsidRDefault="008E2206" w:rsidP="00834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FCD91" w14:textId="77777777" w:rsidR="008E2206" w:rsidRDefault="008E2206" w:rsidP="00834A2F">
      <w:pPr>
        <w:spacing w:after="0" w:line="240" w:lineRule="auto"/>
      </w:pPr>
      <w:r>
        <w:separator/>
      </w:r>
    </w:p>
  </w:footnote>
  <w:footnote w:type="continuationSeparator" w:id="0">
    <w:p w14:paraId="79022C8C" w14:textId="77777777" w:rsidR="008E2206" w:rsidRDefault="008E2206" w:rsidP="00834A2F">
      <w:pPr>
        <w:spacing w:after="0" w:line="240" w:lineRule="auto"/>
      </w:pPr>
      <w:r>
        <w:continuationSeparator/>
      </w:r>
    </w:p>
  </w:footnote>
  <w:footnote w:id="1">
    <w:p w14:paraId="017B8C9A" w14:textId="77777777" w:rsidR="002A3422" w:rsidRPr="00F9563E" w:rsidRDefault="002A3422" w:rsidP="002A3422">
      <w:pPr>
        <w:pStyle w:val="Notedebasdepage"/>
        <w:bidi/>
        <w:jc w:val="both"/>
        <w:rPr>
          <w:rFonts w:ascii="David" w:hAnsi="David" w:cs="David"/>
          <w:rtl/>
        </w:rPr>
      </w:pPr>
      <w:r w:rsidRPr="00F9563E">
        <w:rPr>
          <w:rStyle w:val="Appelnotedebasdep"/>
          <w:rFonts w:ascii="David" w:hAnsi="David" w:cs="David"/>
        </w:rPr>
        <w:footnoteRef/>
      </w:r>
      <w:r w:rsidRPr="00F9563E">
        <w:rPr>
          <w:rFonts w:ascii="David" w:hAnsi="David" w:cs="David"/>
        </w:rPr>
        <w:t xml:space="preserve"> </w:t>
      </w:r>
      <w:r w:rsidRPr="00F9563E">
        <w:rPr>
          <w:rFonts w:ascii="David" w:hAnsi="David" w:cs="David"/>
          <w:rtl/>
        </w:rPr>
        <w:t xml:space="preserve"> כְּגוֹן טַבַּעַת בְּהֵמָה שֶׁאֵינָהּ מְקַבֶּלֶת טֻמְאָה, חָשַׁב עָלֶיהָ לִתְּנָהּ בְּאֶצְבַּע אָדָם, מְקַבֶּלֶת טֻמְאָה מִכָּאן וָאֵילָךְ בְּמַחֲשָׁבָה זוֹ, </w:t>
      </w:r>
      <w:r w:rsidRPr="00F9563E">
        <w:rPr>
          <w:rFonts w:ascii="David" w:hAnsi="David" w:cs="David"/>
          <w:b/>
          <w:bCs/>
          <w:rtl/>
        </w:rPr>
        <w:t>רע''ב</w:t>
      </w:r>
      <w:r w:rsidRPr="00F9563E">
        <w:rPr>
          <w:rFonts w:ascii="David" w:hAnsi="David" w:cs="David"/>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BB4"/>
    <w:rsid w:val="000E4062"/>
    <w:rsid w:val="001F6711"/>
    <w:rsid w:val="002A3422"/>
    <w:rsid w:val="00594F70"/>
    <w:rsid w:val="006B11A3"/>
    <w:rsid w:val="00726B26"/>
    <w:rsid w:val="00834A2F"/>
    <w:rsid w:val="008E2206"/>
    <w:rsid w:val="00900996"/>
    <w:rsid w:val="009126D2"/>
    <w:rsid w:val="009F332A"/>
    <w:rsid w:val="00A55FFE"/>
    <w:rsid w:val="00AA0EA8"/>
    <w:rsid w:val="00D24BB4"/>
    <w:rsid w:val="00F156B5"/>
    <w:rsid w:val="00F31BF7"/>
    <w:rsid w:val="00F9563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BF260"/>
  <w15:chartTrackingRefBased/>
  <w15:docId w15:val="{019C13A6-2151-46A1-B473-DA1C8D73B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834A2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34A2F"/>
    <w:rPr>
      <w:noProof/>
      <w:sz w:val="20"/>
      <w:szCs w:val="20"/>
    </w:rPr>
  </w:style>
  <w:style w:type="character" w:styleId="Appelnotedebasdep">
    <w:name w:val="footnote reference"/>
    <w:basedOn w:val="Policepardfaut"/>
    <w:uiPriority w:val="99"/>
    <w:semiHidden/>
    <w:unhideWhenUsed/>
    <w:rsid w:val="00834A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FAE5B-7582-417B-9824-0F4B29180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3</Pages>
  <Words>935</Words>
  <Characters>5143</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7</cp:revision>
  <dcterms:created xsi:type="dcterms:W3CDTF">2022-04-01T08:07:00Z</dcterms:created>
  <dcterms:modified xsi:type="dcterms:W3CDTF">2025-09-21T19:04:00Z</dcterms:modified>
</cp:coreProperties>
</file>