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F81AE" w14:textId="67034187" w:rsidR="001D2779" w:rsidRPr="00237EF8" w:rsidRDefault="00237EF8" w:rsidP="00237EF8">
      <w:pPr>
        <w:bidi/>
        <w:ind w:left="3540"/>
        <w:jc w:val="both"/>
        <w:rPr>
          <w:rFonts w:ascii="David" w:hAnsi="David" w:cs="David"/>
          <w:sz w:val="56"/>
          <w:szCs w:val="56"/>
          <w:u w:val="single"/>
          <w:rtl/>
        </w:rPr>
      </w:pPr>
      <w:r w:rsidRPr="00237EF8">
        <w:rPr>
          <w:rFonts w:ascii="David" w:hAnsi="David" w:cs="David" w:hint="cs"/>
          <w:sz w:val="56"/>
          <w:szCs w:val="56"/>
          <w:u w:val="single"/>
          <w:rtl/>
        </w:rPr>
        <w:t>מעלות</w:t>
      </w:r>
    </w:p>
    <w:p w14:paraId="284E2A69" w14:textId="77777777" w:rsidR="00237EF8" w:rsidRDefault="00237EF8" w:rsidP="00237EF8">
      <w:pPr>
        <w:bidi/>
        <w:jc w:val="both"/>
        <w:rPr>
          <w:rFonts w:ascii="David" w:hAnsi="David" w:cs="David"/>
          <w:sz w:val="28"/>
          <w:szCs w:val="28"/>
          <w:rtl/>
        </w:rPr>
      </w:pPr>
    </w:p>
    <w:p w14:paraId="618CD8CF" w14:textId="77777777" w:rsidR="00237EF8" w:rsidRDefault="00237EF8" w:rsidP="00237EF8">
      <w:pPr>
        <w:bidi/>
        <w:jc w:val="both"/>
        <w:rPr>
          <w:rFonts w:ascii="David" w:hAnsi="David" w:cs="David"/>
          <w:sz w:val="28"/>
          <w:szCs w:val="28"/>
          <w:rtl/>
        </w:rPr>
      </w:pPr>
    </w:p>
    <w:p w14:paraId="3A39B461" w14:textId="33B81346" w:rsidR="00237EF8" w:rsidRPr="00237EF8" w:rsidRDefault="00237EF8" w:rsidP="00237EF8">
      <w:pPr>
        <w:bidi/>
        <w:jc w:val="both"/>
        <w:rPr>
          <w:rFonts w:ascii="David" w:hAnsi="David" w:cs="David"/>
          <w:sz w:val="36"/>
          <w:szCs w:val="36"/>
          <w:u w:val="single"/>
          <w:rtl/>
        </w:rPr>
      </w:pPr>
      <w:r w:rsidRPr="00237EF8">
        <w:rPr>
          <w:rFonts w:ascii="David" w:hAnsi="David" w:cs="David" w:hint="cs"/>
          <w:sz w:val="36"/>
          <w:szCs w:val="36"/>
          <w:u w:val="single"/>
          <w:rtl/>
        </w:rPr>
        <w:t>אם משתמש במעלות שלו לטובה אז יכול להתהלל עליהם</w:t>
      </w:r>
    </w:p>
    <w:p w14:paraId="7A26BECD" w14:textId="77777777" w:rsidR="00237EF8" w:rsidRPr="00237EF8" w:rsidRDefault="00237EF8" w:rsidP="00237EF8">
      <w:pPr>
        <w:bidi/>
        <w:spacing w:line="256" w:lineRule="auto"/>
        <w:jc w:val="both"/>
        <w:rPr>
          <w:rFonts w:ascii="David" w:eastAsia="Calibri" w:hAnsi="David" w:cs="David"/>
          <w:kern w:val="0"/>
          <w:sz w:val="28"/>
          <w:szCs w:val="28"/>
          <w:rtl/>
          <w14:ligatures w14:val="none"/>
        </w:rPr>
      </w:pPr>
      <w:r w:rsidRPr="00237EF8">
        <w:rPr>
          <w:rFonts w:ascii="David" w:eastAsia="Calibri" w:hAnsi="David" w:cs="David"/>
          <w:kern w:val="0"/>
          <w:sz w:val="28"/>
          <w:szCs w:val="28"/>
          <w:rtl/>
          <w14:ligatures w14:val="none"/>
        </w:rPr>
        <w:t xml:space="preserve">בספר </w:t>
      </w:r>
      <w:r w:rsidRPr="00237EF8">
        <w:rPr>
          <w:rFonts w:ascii="David" w:eastAsia="Calibri" w:hAnsi="David" w:cs="David"/>
          <w:b/>
          <w:bCs/>
          <w:kern w:val="0"/>
          <w:sz w:val="28"/>
          <w:szCs w:val="28"/>
          <w:rtl/>
          <w14:ligatures w14:val="none"/>
        </w:rPr>
        <w:t>משנת יוסף להגה"צ ר"י ליברמן</w:t>
      </w:r>
      <w:r w:rsidRPr="00237EF8">
        <w:rPr>
          <w:rFonts w:ascii="David" w:eastAsia="Calibri" w:hAnsi="David" w:cs="David"/>
          <w:kern w:val="0"/>
          <w:sz w:val="28"/>
          <w:szCs w:val="28"/>
          <w:rtl/>
          <w14:ligatures w14:val="none"/>
        </w:rPr>
        <w:t xml:space="preserve"> </w:t>
      </w:r>
      <w:r w:rsidRPr="00237EF8">
        <w:rPr>
          <w:rFonts w:ascii="David" w:eastAsia="Calibri" w:hAnsi="David" w:cs="David"/>
          <w:kern w:val="0"/>
          <w:sz w:val="24"/>
          <w:szCs w:val="24"/>
          <w:rtl/>
          <w14:ligatures w14:val="none"/>
        </w:rPr>
        <w:t xml:space="preserve">(ח"ב ע' רל"ד) </w:t>
      </w:r>
      <w:r w:rsidRPr="00237EF8">
        <w:rPr>
          <w:rFonts w:ascii="David" w:eastAsia="Calibri" w:hAnsi="David" w:cs="David"/>
          <w:kern w:val="0"/>
          <w:sz w:val="28"/>
          <w:szCs w:val="28"/>
          <w:rtl/>
          <w14:ligatures w14:val="none"/>
        </w:rPr>
        <w:t>מביא: ב"ספר הנעים" להג"ר יהושע העשל באב"ד ז"ל זקינו של המנחת חינוך (עמ' ז') כתב לפרש בהקדם הפסוק בתהלים (קיט) הקם לעבדך אמרתך אשר ליראתך. על פי דברי התוס' יום טוב (אבות פ"ד מ"א) על הפסוק (ירמי' ט' כ"ב) אל יתהלל חכם בחכמתו, ואל יתהלל גבור בגבורתו, ואל יתהלל עשיר בעשרו, כי אם בזאת יתהלל המתהלל השכל וידוע אותי. כי בחכמה לבד אי אפשר להתהלל, שעדיין אינו יודע אם החכמה תהי' לטובתו, שינצל אותה לטובה, ללימוד התוה"ק לעבודת ד' ויר"ש, ולעבודת תיקון המדות וכו' אשר לכל זה צריך חכמה רבה. או ח"ו יהי' חכם להרע. וכן בגבורה, אם יהי' גבור הכובש את יצרו, אשר אך זו היא הגבורה האמיתית יותר מכל שאר גבורות שבעולם. או ח"ו יהי גבור ציד המטיל אימתו על הבריות, ועושה מחלוקת וכדומה. וכן בעושר אם ינצלו לטובה, שיהי' לו להכנה ללימוד התורה וקיום המצוות ולצדקה וחסד, או ח"ו שיכלהו לריק ברכישת הבלי מותרות עוה"ז</w:t>
      </w:r>
      <w:r w:rsidRPr="00237EF8">
        <w:rPr>
          <w:rFonts w:ascii="David" w:eastAsia="Calibri" w:hAnsi="David" w:cs="David"/>
          <w:kern w:val="0"/>
          <w:sz w:val="28"/>
          <w:szCs w:val="28"/>
          <w14:ligatures w14:val="none"/>
        </w:rPr>
        <w:t>.</w:t>
      </w:r>
    </w:p>
    <w:p w14:paraId="3B72BC94" w14:textId="77777777" w:rsidR="00237EF8" w:rsidRPr="00237EF8" w:rsidRDefault="00237EF8" w:rsidP="00237EF8">
      <w:pPr>
        <w:bidi/>
        <w:spacing w:line="256" w:lineRule="auto"/>
        <w:jc w:val="both"/>
        <w:rPr>
          <w:rFonts w:ascii="David" w:eastAsia="Calibri" w:hAnsi="David" w:cs="David"/>
          <w:kern w:val="0"/>
          <w:sz w:val="28"/>
          <w:szCs w:val="28"/>
          <w:rtl/>
          <w14:ligatures w14:val="none"/>
        </w:rPr>
      </w:pPr>
      <w:r w:rsidRPr="00237EF8">
        <w:rPr>
          <w:rFonts w:ascii="David" w:eastAsia="Calibri" w:hAnsi="David" w:cs="David"/>
          <w:kern w:val="0"/>
          <w:sz w:val="28"/>
          <w:szCs w:val="28"/>
          <w:rtl/>
          <w14:ligatures w14:val="none"/>
        </w:rPr>
        <w:t>אבל אם השכל וידוע אותי, שהולך בדרך טובים, אז יכול להתהלל בכל, בחכמה בגבורה ובעושר. - וז"ש דוד המלך בראותו עצמו שזכה לחכמה, כמ"ש ויהי דוד בכל דרכיו משכיל וה' עמו, ולגבורה כמ"ש גם את הארי גם הדוב הכה עבדך, ולעושר בהיותו מלך, ביקש מהשי"ת הקם לעבדך "אמרתך", שאמרת על הטיפה שממנה נוצרתי, שאצא ממנה חכם גבור ועשיר, "אשר ליראתך" שכל אלה ישמשו לי ליראתך, ואז אם השכל וידוע אותי, אז יוכל להתהלל בחכמתו בגבורתו ובעשרו</w:t>
      </w:r>
      <w:r w:rsidRPr="00237EF8">
        <w:rPr>
          <w:rFonts w:ascii="David" w:eastAsia="Calibri" w:hAnsi="David" w:cs="David"/>
          <w:kern w:val="0"/>
          <w:sz w:val="28"/>
          <w:szCs w:val="28"/>
          <w14:ligatures w14:val="none"/>
        </w:rPr>
        <w:t>.</w:t>
      </w:r>
    </w:p>
    <w:p w14:paraId="2293942E" w14:textId="37C83CD9" w:rsidR="00237EF8" w:rsidRDefault="00237EF8" w:rsidP="00237EF8">
      <w:pPr>
        <w:bidi/>
        <w:jc w:val="both"/>
        <w:rPr>
          <w:rFonts w:ascii="David" w:eastAsia="Calibri" w:hAnsi="David" w:cs="David"/>
          <w:kern w:val="0"/>
          <w:sz w:val="28"/>
          <w:szCs w:val="28"/>
          <w:rtl/>
          <w14:ligatures w14:val="none"/>
        </w:rPr>
      </w:pPr>
      <w:r w:rsidRPr="00237EF8">
        <w:rPr>
          <w:rFonts w:ascii="David" w:eastAsia="Calibri" w:hAnsi="David" w:cs="David"/>
          <w:kern w:val="0"/>
          <w:sz w:val="28"/>
          <w:szCs w:val="28"/>
          <w:rtl/>
          <w14:ligatures w14:val="none"/>
        </w:rPr>
        <w:t>וז"ש כאן שהקב"ה אומר וגוזר על הטיפה מה תהא עליה, אם חכם גבור ועשיר, או ח"ו להיפך, ואילו צדיק ורשע לא קאמר, כי לזה נמסרה לאדם הבחירה, ואם יבחר בדרך הטובה אז תהיה לו לטובה ולברכה את אשר נגזר עליו טרם לידתו. אתו"ד בתוספת ביאור</w:t>
      </w:r>
      <w:r>
        <w:rPr>
          <w:rFonts w:ascii="David" w:eastAsia="Calibri" w:hAnsi="David" w:cs="David" w:hint="cs"/>
          <w:kern w:val="0"/>
          <w:sz w:val="28"/>
          <w:szCs w:val="28"/>
          <w:rtl/>
          <w14:ligatures w14:val="none"/>
        </w:rPr>
        <w:t>.</w:t>
      </w:r>
    </w:p>
    <w:p w14:paraId="17478621" w14:textId="19122CF4" w:rsidR="00237EF8" w:rsidRDefault="00237EF8" w:rsidP="00237EF8">
      <w:pPr>
        <w:bidi/>
        <w:jc w:val="both"/>
        <w:rPr>
          <w:rFonts w:ascii="David" w:eastAsia="Calibri" w:hAnsi="David" w:cs="David"/>
          <w:kern w:val="0"/>
          <w:sz w:val="28"/>
          <w:szCs w:val="28"/>
          <w:rtl/>
          <w14:ligatures w14:val="none"/>
        </w:rPr>
      </w:pPr>
      <w:r>
        <w:rPr>
          <w:rFonts w:ascii="David" w:eastAsia="Calibri" w:hAnsi="David" w:cs="David" w:hint="cs"/>
          <w:kern w:val="0"/>
          <w:sz w:val="28"/>
          <w:szCs w:val="28"/>
          <w:rtl/>
          <w14:ligatures w14:val="none"/>
        </w:rPr>
        <w:t xml:space="preserve">ובאותו ענין ביאר </w:t>
      </w:r>
      <w:r w:rsidRPr="00237EF8">
        <w:rPr>
          <w:rFonts w:ascii="David" w:eastAsia="Calibri" w:hAnsi="David" w:cs="David" w:hint="cs"/>
          <w:b/>
          <w:bCs/>
          <w:kern w:val="0"/>
          <w:sz w:val="28"/>
          <w:szCs w:val="28"/>
          <w:rtl/>
          <w14:ligatures w14:val="none"/>
        </w:rPr>
        <w:t>הגר''א</w:t>
      </w:r>
      <w:r>
        <w:rPr>
          <w:rFonts w:ascii="David" w:eastAsia="Calibri" w:hAnsi="David" w:cs="David" w:hint="cs"/>
          <w:kern w:val="0"/>
          <w:sz w:val="28"/>
          <w:szCs w:val="28"/>
          <w:rtl/>
          <w14:ligatures w14:val="none"/>
        </w:rPr>
        <w:t xml:space="preserve"> מה שאומרים באשת חיל ''שקר החן והבל היופי אשה יראת ה' היא תתהלל'', שמתי שקר החן והבל היופי? כשאין אין יראת שמים, אבל אם יש יראת שמים אז גם היא, היופי, תתהלל.</w:t>
      </w:r>
    </w:p>
    <w:p w14:paraId="3C3F5482" w14:textId="34C0124D" w:rsidR="00237EF8" w:rsidRPr="00237EF8" w:rsidRDefault="00237EF8" w:rsidP="00237EF8">
      <w:pPr>
        <w:bidi/>
        <w:jc w:val="both"/>
        <w:rPr>
          <w:rFonts w:ascii="David" w:hAnsi="David" w:cs="David"/>
          <w:sz w:val="28"/>
          <w:szCs w:val="28"/>
        </w:rPr>
      </w:pPr>
      <w:r>
        <w:rPr>
          <w:rFonts w:ascii="David" w:eastAsia="Calibri" w:hAnsi="David" w:cs="David" w:hint="cs"/>
          <w:kern w:val="0"/>
          <w:sz w:val="28"/>
          <w:szCs w:val="28"/>
          <w:rtl/>
          <w14:ligatures w14:val="none"/>
        </w:rPr>
        <w:t>ובזה יישב למה התורה שיבחה את היופי של האמאות, דכיון שהיה להם יראת שמים אז ראוי היה להלל את יופים.</w:t>
      </w:r>
    </w:p>
    <w:sectPr w:rsidR="00237EF8" w:rsidRPr="00237E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EF8"/>
    <w:rsid w:val="001D2779"/>
    <w:rsid w:val="00237EF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E200"/>
  <w15:chartTrackingRefBased/>
  <w15:docId w15:val="{45EDA5F1-01E8-407F-80C1-F31B0EE30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277</Words>
  <Characters>1524</Characters>
  <Application>Microsoft Office Word</Application>
  <DocSecurity>0</DocSecurity>
  <Lines>12</Lines>
  <Paragraphs>3</Paragraphs>
  <ScaleCrop>false</ScaleCrop>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2023-11-09T22:05:00Z</dcterms:created>
  <dcterms:modified xsi:type="dcterms:W3CDTF">2023-11-09T22:10:00Z</dcterms:modified>
</cp:coreProperties>
</file>