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B214" w14:textId="7EB5D235" w:rsidR="003C6C09" w:rsidRPr="00DE23DC" w:rsidRDefault="00DE23DC" w:rsidP="00DE23DC">
      <w:pPr>
        <w:bidi/>
        <w:ind w:left="1416"/>
        <w:jc w:val="both"/>
        <w:rPr>
          <w:rFonts w:asciiTheme="majorBidi" w:hAnsiTheme="majorBidi" w:cstheme="majorBidi"/>
          <w:sz w:val="48"/>
          <w:szCs w:val="48"/>
          <w:u w:val="single"/>
          <w:rtl/>
        </w:rPr>
      </w:pPr>
      <w:r w:rsidRPr="00DE23DC">
        <w:rPr>
          <w:rFonts w:asciiTheme="majorBidi" w:hAnsiTheme="majorBidi" w:cstheme="majorBidi" w:hint="cs"/>
          <w:sz w:val="48"/>
          <w:szCs w:val="48"/>
          <w:u w:val="single"/>
          <w:rtl/>
        </w:rPr>
        <w:t>מעלין בקודש</w:t>
      </w:r>
    </w:p>
    <w:p w14:paraId="733215EC" w14:textId="77777777" w:rsidR="00DE23DC" w:rsidRPr="00DE23DC" w:rsidRDefault="00DE23DC" w:rsidP="00DE23DC">
      <w:pPr>
        <w:bidi/>
        <w:ind w:left="1416"/>
        <w:jc w:val="both"/>
        <w:rPr>
          <w:rFonts w:asciiTheme="majorBidi" w:hAnsiTheme="majorBidi" w:cstheme="majorBidi"/>
          <w:sz w:val="48"/>
          <w:szCs w:val="48"/>
          <w:u w:val="single"/>
          <w:rtl/>
        </w:rPr>
      </w:pPr>
    </w:p>
    <w:p w14:paraId="427F3E0A" w14:textId="77777777" w:rsidR="00DE23DC" w:rsidRDefault="00DE23DC" w:rsidP="00DE23DC">
      <w:pPr>
        <w:bidi/>
        <w:jc w:val="both"/>
        <w:rPr>
          <w:rFonts w:asciiTheme="majorBidi" w:hAnsiTheme="majorBidi" w:cstheme="majorBidi"/>
          <w:rtl/>
        </w:rPr>
      </w:pPr>
      <w:r w:rsidRPr="00DE23DC">
        <w:rPr>
          <w:rFonts w:asciiTheme="majorBidi" w:hAnsiTheme="majorBidi" w:cstheme="majorBidi" w:hint="cs"/>
          <w:b/>
          <w:bCs/>
          <w:u w:val="single"/>
          <w:rtl/>
        </w:rPr>
        <w:t>האם דין של מעלין בקודש נאמר גם על שתי מצוות או רק על אותה מצוה</w:t>
      </w:r>
      <w:r w:rsidRPr="00DE23DC">
        <w:rPr>
          <w:rFonts w:asciiTheme="majorBidi" w:hAnsiTheme="majorBidi" w:cstheme="majorBidi" w:hint="cs"/>
          <w:b/>
          <w:bCs/>
          <w:rtl/>
        </w:rPr>
        <w:t>?</w:t>
      </w:r>
    </w:p>
    <w:p w14:paraId="52AEF3CB" w14:textId="41C346C6" w:rsidR="00DE23DC" w:rsidRDefault="00DE23DC" w:rsidP="00DE23DC">
      <w:pPr>
        <w:bidi/>
        <w:jc w:val="both"/>
        <w:rPr>
          <w:rFonts w:asciiTheme="majorBidi" w:hAnsiTheme="majorBidi" w:cs="Times New Roman"/>
          <w:rtl/>
        </w:rPr>
      </w:pPr>
      <w:r>
        <w:rPr>
          <w:rFonts w:asciiTheme="majorBidi" w:hAnsiTheme="majorBidi" w:cstheme="majorBidi" w:hint="cs"/>
          <w:rtl/>
        </w:rPr>
        <w:t xml:space="preserve">והנה, </w:t>
      </w:r>
      <w:r>
        <w:rPr>
          <w:rFonts w:asciiTheme="majorBidi" w:hAnsiTheme="majorBidi" w:cs="Times New Roman" w:hint="cs"/>
          <w:rtl/>
        </w:rPr>
        <w:t xml:space="preserve">דעת </w:t>
      </w:r>
      <w:r w:rsidRPr="00DE23DC">
        <w:rPr>
          <w:rFonts w:asciiTheme="majorBidi" w:hAnsiTheme="majorBidi" w:cs="Times New Roman"/>
          <w:b/>
          <w:bCs/>
          <w:rtl/>
        </w:rPr>
        <w:t>השאגת אריה והדגול מרבבה</w:t>
      </w:r>
      <w:r>
        <w:rPr>
          <w:rFonts w:asciiTheme="majorBidi" w:hAnsiTheme="majorBidi" w:cs="Times New Roman" w:hint="cs"/>
          <w:rtl/>
        </w:rPr>
        <w:t xml:space="preserve"> ש</w:t>
      </w:r>
      <w:r w:rsidRPr="00DE23DC">
        <w:rPr>
          <w:rFonts w:asciiTheme="majorBidi" w:hAnsiTheme="majorBidi" w:cs="Times New Roman"/>
          <w:rtl/>
        </w:rPr>
        <w:t xml:space="preserve">לא נאמר דין 'מעלין בקודש' אלא באותה מצוה עצמה, כגון שאין עושין מתפילה של ראש תפילה של יד, אבל בשתי מצוות איזו מהם להקדים, אדרבה משנה מפורשת היא </w:t>
      </w:r>
      <w:r w:rsidRPr="00DE23DC">
        <w:rPr>
          <w:rFonts w:asciiTheme="majorBidi" w:hAnsiTheme="majorBidi" w:cs="Times New Roman"/>
          <w:b/>
          <w:bCs/>
          <w:rtl/>
        </w:rPr>
        <w:t>בזבחים</w:t>
      </w:r>
      <w:r>
        <w:rPr>
          <w:rFonts w:asciiTheme="majorBidi" w:hAnsiTheme="majorBidi" w:cs="Times New Roman" w:hint="cs"/>
          <w:rtl/>
        </w:rPr>
        <w:t xml:space="preserve"> </w:t>
      </w:r>
      <w:r w:rsidRPr="00DE23DC">
        <w:rPr>
          <w:rFonts w:asciiTheme="majorBidi" w:hAnsiTheme="majorBidi" w:cs="Times New Roman" w:hint="cs"/>
          <w:sz w:val="20"/>
          <w:szCs w:val="20"/>
          <w:rtl/>
        </w:rPr>
        <w:t>(דף פט.)</w:t>
      </w:r>
      <w:r w:rsidRPr="00DE23DC">
        <w:rPr>
          <w:rFonts w:asciiTheme="majorBidi" w:hAnsiTheme="majorBidi" w:cs="Times New Roman"/>
          <w:sz w:val="20"/>
          <w:szCs w:val="20"/>
          <w:rtl/>
        </w:rPr>
        <w:t xml:space="preserve"> </w:t>
      </w:r>
      <w:r w:rsidRPr="00DE23DC">
        <w:rPr>
          <w:rFonts w:asciiTheme="majorBidi" w:hAnsiTheme="majorBidi" w:cs="Times New Roman"/>
          <w:rtl/>
        </w:rPr>
        <w:t>שכל המקודש מחבירו קודם את חבירו</w:t>
      </w:r>
      <w:r>
        <w:rPr>
          <w:rFonts w:asciiTheme="majorBidi" w:hAnsiTheme="majorBidi" w:cs="Times New Roman" w:hint="cs"/>
          <w:rtl/>
        </w:rPr>
        <w:t>.</w:t>
      </w:r>
    </w:p>
    <w:p w14:paraId="50626D47" w14:textId="1B4CD9D8" w:rsidR="00DE23DC" w:rsidRDefault="00DE23DC" w:rsidP="00DE23DC">
      <w:pPr>
        <w:bidi/>
        <w:jc w:val="both"/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 w:hint="cs"/>
          <w:rtl/>
        </w:rPr>
        <w:t xml:space="preserve">והנה, כתב </w:t>
      </w:r>
      <w:r w:rsidRPr="00DE23DC">
        <w:rPr>
          <w:rFonts w:asciiTheme="majorBidi" w:hAnsiTheme="majorBidi" w:cs="Times New Roman" w:hint="cs"/>
          <w:b/>
          <w:bCs/>
          <w:rtl/>
        </w:rPr>
        <w:t>הש''ע</w:t>
      </w:r>
      <w:r>
        <w:rPr>
          <w:rFonts w:asciiTheme="majorBidi" w:hAnsiTheme="majorBidi" w:cs="Times New Roman" w:hint="cs"/>
          <w:rtl/>
        </w:rPr>
        <w:t xml:space="preserve"> </w:t>
      </w:r>
      <w:r w:rsidRPr="00DE23DC">
        <w:rPr>
          <w:rFonts w:asciiTheme="majorBidi" w:hAnsiTheme="majorBidi" w:cs="Times New Roman" w:hint="cs"/>
          <w:sz w:val="20"/>
          <w:szCs w:val="20"/>
          <w:rtl/>
        </w:rPr>
        <w:t xml:space="preserve">(סי' כה ס''א) </w:t>
      </w:r>
      <w:r>
        <w:rPr>
          <w:rFonts w:asciiTheme="majorBidi" w:hAnsiTheme="majorBidi" w:cs="Times New Roman" w:hint="cs"/>
          <w:rtl/>
        </w:rPr>
        <w:t>''</w:t>
      </w:r>
      <w:r w:rsidRPr="00DE23DC">
        <w:rPr>
          <w:rFonts w:asciiTheme="majorBidi" w:hAnsiTheme="majorBidi" w:cs="Times New Roman"/>
          <w:rtl/>
        </w:rPr>
        <w:t>אַחַר שֶׁלָּבַשׁ טַלִּית מְצֻיָּץ, יָנִיחַ תְּפִלִּין, שֶׁמַּעֲלִין בַּקֹּדֶשׁ</w:t>
      </w:r>
      <w:r>
        <w:rPr>
          <w:rFonts w:asciiTheme="majorBidi" w:hAnsiTheme="majorBidi" w:cs="Times New Roman" w:hint="cs"/>
          <w:rtl/>
        </w:rPr>
        <w:t>''.</w:t>
      </w:r>
    </w:p>
    <w:p w14:paraId="6C0F46C3" w14:textId="1FD12CDB" w:rsidR="00DE23DC" w:rsidRDefault="00DE23DC" w:rsidP="00DE23DC">
      <w:pPr>
        <w:bidi/>
        <w:jc w:val="both"/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 w:hint="cs"/>
          <w:rtl/>
        </w:rPr>
        <w:t xml:space="preserve">והבינו </w:t>
      </w:r>
      <w:r w:rsidRPr="00DE23DC">
        <w:rPr>
          <w:rFonts w:asciiTheme="majorBidi" w:hAnsiTheme="majorBidi" w:cs="Times New Roman"/>
          <w:b/>
          <w:bCs/>
          <w:rtl/>
        </w:rPr>
        <w:t>השאגת אריה והדגול מרבבה</w:t>
      </w:r>
      <w:r w:rsidRPr="00DE23DC">
        <w:rPr>
          <w:rFonts w:asciiTheme="majorBidi" w:hAnsiTheme="majorBidi" w:cs="Times New Roman"/>
          <w:rtl/>
        </w:rPr>
        <w:t xml:space="preserve"> שכוונת </w:t>
      </w:r>
      <w:r w:rsidRPr="00DE23DC">
        <w:rPr>
          <w:rFonts w:asciiTheme="majorBidi" w:hAnsiTheme="majorBidi" w:cs="Times New Roman"/>
          <w:b/>
          <w:bCs/>
          <w:rtl/>
        </w:rPr>
        <w:t>הש"ע</w:t>
      </w:r>
      <w:r w:rsidRPr="00DE23DC">
        <w:rPr>
          <w:rFonts w:asciiTheme="majorBidi" w:hAnsiTheme="majorBidi" w:cs="Times New Roman"/>
          <w:rtl/>
        </w:rPr>
        <w:t xml:space="preserve"> שמעלין בקודש היינו שהתפילין יש בהם קדושה יותר מציצית, ולכן מקדים הציצית לפי שמעלין בקודש, ולפי"ז הקשו </w:t>
      </w:r>
      <w:r>
        <w:rPr>
          <w:rFonts w:asciiTheme="majorBidi" w:hAnsiTheme="majorBidi" w:cs="Times New Roman" w:hint="cs"/>
          <w:rtl/>
        </w:rPr>
        <w:t>ש</w:t>
      </w:r>
      <w:r w:rsidRPr="00DE23DC">
        <w:rPr>
          <w:rFonts w:asciiTheme="majorBidi" w:hAnsiTheme="majorBidi" w:cs="Times New Roman"/>
          <w:rtl/>
        </w:rPr>
        <w:t xml:space="preserve">לא נאמר דין 'מעלין בקודש' אלא באותה מצוה עצמה, אבל בשתי מצוות </w:t>
      </w:r>
      <w:r>
        <w:rPr>
          <w:rFonts w:asciiTheme="majorBidi" w:hAnsiTheme="majorBidi" w:cs="Times New Roman" w:hint="cs"/>
          <w:rtl/>
        </w:rPr>
        <w:t>אדרבה מקדימים ההיא דקדוש טפי וכנ''ל.</w:t>
      </w:r>
    </w:p>
    <w:p w14:paraId="277426DC" w14:textId="36B2865B" w:rsidR="00DE23DC" w:rsidRPr="00DE23DC" w:rsidRDefault="00DE23DC" w:rsidP="00DE23DC">
      <w:pPr>
        <w:bidi/>
        <w:jc w:val="both"/>
        <w:rPr>
          <w:rFonts w:asciiTheme="majorBidi" w:hAnsiTheme="majorBidi" w:cs="Times New Roman"/>
        </w:rPr>
      </w:pPr>
      <w:r w:rsidRPr="00DE23DC">
        <w:rPr>
          <w:rFonts w:asciiTheme="majorBidi" w:hAnsiTheme="majorBidi" w:cs="Times New Roman"/>
          <w:rtl/>
        </w:rPr>
        <w:t xml:space="preserve">אולם </w:t>
      </w:r>
      <w:r w:rsidRPr="00DE23DC">
        <w:rPr>
          <w:rFonts w:asciiTheme="majorBidi" w:hAnsiTheme="majorBidi" w:cs="Times New Roman"/>
          <w:b/>
          <w:bCs/>
          <w:rtl/>
        </w:rPr>
        <w:t>האליה רבה והגר"א</w:t>
      </w:r>
      <w:r w:rsidRPr="00DE23DC">
        <w:rPr>
          <w:rFonts w:asciiTheme="majorBidi" w:hAnsiTheme="majorBidi" w:cs="Times New Roman"/>
          <w:rtl/>
        </w:rPr>
        <w:t xml:space="preserve"> כתבו לפרש כוונת </w:t>
      </w:r>
      <w:r w:rsidRPr="00DE23DC">
        <w:rPr>
          <w:rFonts w:asciiTheme="majorBidi" w:hAnsiTheme="majorBidi" w:cs="Times New Roman"/>
          <w:b/>
          <w:bCs/>
          <w:rtl/>
        </w:rPr>
        <w:t>הש"ע</w:t>
      </w:r>
      <w:r w:rsidRPr="00DE23DC">
        <w:rPr>
          <w:rFonts w:asciiTheme="majorBidi" w:hAnsiTheme="majorBidi" w:cs="Times New Roman"/>
          <w:rtl/>
        </w:rPr>
        <w:t xml:space="preserve"> [שמקורו </w:t>
      </w:r>
      <w:r w:rsidRPr="00DE23DC">
        <w:rPr>
          <w:rFonts w:asciiTheme="majorBidi" w:hAnsiTheme="majorBidi" w:cs="Times New Roman"/>
          <w:b/>
          <w:bCs/>
          <w:rtl/>
        </w:rPr>
        <w:t>במהר"י וייל</w:t>
      </w:r>
      <w:r w:rsidRPr="00DE23DC">
        <w:rPr>
          <w:rFonts w:asciiTheme="majorBidi" w:hAnsiTheme="majorBidi" w:cs="Times New Roman"/>
          <w:rtl/>
        </w:rPr>
        <w:t>] שאין כוונתו על הציצית והתפילין, אלא על האדם, והוא על פי הסוד, שצריך לילך מדרגא לדרגא ולהתעלות בקדושה</w:t>
      </w:r>
      <w:r>
        <w:rPr>
          <w:rFonts w:asciiTheme="majorBidi" w:hAnsiTheme="majorBidi" w:cs="Times New Roman" w:hint="cs"/>
          <w:rtl/>
        </w:rPr>
        <w:t xml:space="preserve"> </w:t>
      </w:r>
      <w:r w:rsidRPr="00DE23DC">
        <w:rPr>
          <w:rFonts w:asciiTheme="majorBidi" w:hAnsiTheme="majorBidi" w:cs="Times New Roman" w:hint="cs"/>
          <w:rtl/>
        </w:rPr>
        <w:t>כי מתחלה הוא רק מכסה את עצמו בכיסוי של מצוה, וע''י התפילין הוא מקשר את עצמו בקשר היחוד והקדושה</w:t>
      </w:r>
      <w:r>
        <w:rPr>
          <w:rFonts w:asciiTheme="majorBidi" w:hAnsiTheme="majorBidi" w:cs="Times New Roman" w:hint="cs"/>
          <w:rtl/>
        </w:rPr>
        <w:t>.</w:t>
      </w:r>
      <w:r w:rsidRPr="00DE23DC">
        <w:rPr>
          <w:rFonts w:asciiTheme="majorBidi" w:hAnsiTheme="majorBidi" w:cs="Times New Roman"/>
          <w:rtl/>
        </w:rPr>
        <w:t xml:space="preserve"> </w:t>
      </w:r>
      <w:r>
        <w:rPr>
          <w:rFonts w:asciiTheme="majorBidi" w:hAnsiTheme="majorBidi" w:cstheme="majorBidi" w:hint="cs"/>
          <w:rtl/>
        </w:rPr>
        <w:t xml:space="preserve"> </w:t>
      </w:r>
    </w:p>
    <w:sectPr w:rsidR="00DE23DC" w:rsidRPr="00DE23DC" w:rsidSect="00DE23DC">
      <w:pgSz w:w="8391" w:h="11906" w:code="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DC"/>
    <w:rsid w:val="003C6C09"/>
    <w:rsid w:val="006E1F17"/>
    <w:rsid w:val="009B49EA"/>
    <w:rsid w:val="00DE23DC"/>
    <w:rsid w:val="00F3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589B"/>
  <w15:chartTrackingRefBased/>
  <w15:docId w15:val="{AF74F6F9-378C-4B70-8ECF-BEFFAFFA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DE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2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2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23D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23D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23DC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23DC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23DC"/>
    <w:rPr>
      <w:rFonts w:eastAsiaTheme="majorEastAsia" w:cstheme="majorBidi"/>
      <w:noProof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23D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23DC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23D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23DC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23D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23D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23DC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23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23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2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23DC"/>
    <w:rPr>
      <w:i/>
      <w:iCs/>
      <w:noProof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2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142</Words>
  <Characters>785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2025-12-02T04:58:00Z</dcterms:created>
  <dcterms:modified xsi:type="dcterms:W3CDTF">2025-12-02T05:05:00Z</dcterms:modified>
</cp:coreProperties>
</file>