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3A406" w14:textId="7B1B17A4" w:rsidR="001D2779" w:rsidRPr="0039407E" w:rsidRDefault="007E4FA6" w:rsidP="007E4FA6">
      <w:pPr>
        <w:bidi/>
        <w:ind w:left="2124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39407E">
        <w:rPr>
          <w:rFonts w:ascii="David" w:hAnsi="David" w:cs="David"/>
          <w:sz w:val="56"/>
          <w:szCs w:val="56"/>
          <w:u w:val="single"/>
          <w:rtl/>
        </w:rPr>
        <w:t xml:space="preserve">מעשה או תלמוד גדול </w:t>
      </w:r>
    </w:p>
    <w:p w14:paraId="5966F200" w14:textId="5D5EDAEA" w:rsidR="007E4FA6" w:rsidRPr="0039407E" w:rsidRDefault="007E4FA6" w:rsidP="007E4FA6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B0138F3" w14:textId="18F27202" w:rsidR="007E4FA6" w:rsidRPr="0039407E" w:rsidRDefault="007E4FA6" w:rsidP="007E4FA6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80C8541" w14:textId="5444437D" w:rsidR="007E4FA6" w:rsidRPr="0039407E" w:rsidRDefault="007E4FA6" w:rsidP="007E4FA6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39407E">
        <w:rPr>
          <w:rFonts w:ascii="David" w:hAnsi="David" w:cs="David"/>
          <w:sz w:val="28"/>
          <w:szCs w:val="28"/>
          <w:rtl/>
        </w:rPr>
        <w:t xml:space="preserve">עי' </w:t>
      </w:r>
      <w:r w:rsidRPr="0039407E">
        <w:rPr>
          <w:rFonts w:ascii="David" w:hAnsi="David" w:cs="David"/>
          <w:b/>
          <w:bCs/>
          <w:sz w:val="28"/>
          <w:szCs w:val="28"/>
          <w:rtl/>
        </w:rPr>
        <w:t>מכתב מאליהו</w:t>
      </w:r>
      <w:r w:rsidRPr="0039407E">
        <w:rPr>
          <w:rFonts w:ascii="David" w:hAnsi="David" w:cs="David"/>
          <w:sz w:val="28"/>
          <w:szCs w:val="28"/>
          <w:rtl/>
        </w:rPr>
        <w:t xml:space="preserve"> </w:t>
      </w:r>
      <w:r w:rsidRPr="0039407E">
        <w:rPr>
          <w:rFonts w:ascii="David" w:hAnsi="David" w:cs="David"/>
          <w:sz w:val="24"/>
          <w:szCs w:val="24"/>
          <w:rtl/>
        </w:rPr>
        <w:t xml:space="preserve">(ח''ג עמ' 58-59) </w:t>
      </w:r>
      <w:r w:rsidRPr="0039407E">
        <w:rPr>
          <w:rFonts w:ascii="David" w:hAnsi="David" w:cs="David"/>
          <w:sz w:val="28"/>
          <w:szCs w:val="28"/>
          <w:rtl/>
        </w:rPr>
        <w:t>שמאריך להסביר שיש שתי ענייני לימוד, ולפי זה מסביר, מה שנראה כסתרה בדברי חז''ל, האם מעשה או תלמוד עדיף.</w:t>
      </w:r>
    </w:p>
    <w:sectPr w:rsidR="007E4FA6" w:rsidRPr="00394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A6"/>
    <w:rsid w:val="001D2779"/>
    <w:rsid w:val="0039407E"/>
    <w:rsid w:val="007E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3ABCB"/>
  <w15:chartTrackingRefBased/>
  <w15:docId w15:val="{E3C637A7-816F-4B51-859C-13A69AE08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2022-12-03T21:40:00Z</dcterms:created>
  <dcterms:modified xsi:type="dcterms:W3CDTF">2023-10-15T11:28:00Z</dcterms:modified>
</cp:coreProperties>
</file>